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Fonts w:hint="eastAsia" w:ascii="Microsoft YaHei UI" w:hAnsi="Microsoft YaHei UI" w:eastAsia="Microsoft YaHei UI" w:cs="Microsoft YaHei UI"/>
          <w:b/>
          <w:bCs/>
          <w:i w:val="0"/>
          <w:iCs w:val="0"/>
          <w:caps w:val="0"/>
          <w:color w:val="333333"/>
          <w:spacing w:val="7"/>
          <w:sz w:val="26"/>
          <w:szCs w:val="26"/>
          <w:shd w:val="clear" w:fill="FFFFFF"/>
        </w:rPr>
      </w:pPr>
      <w:r>
        <w:rPr>
          <w:rFonts w:hint="eastAsia" w:ascii="黑体" w:hAnsi="黑体" w:eastAsia="黑体" w:cs="黑体"/>
          <w:color w:val="000000"/>
          <w:sz w:val="28"/>
          <w:szCs w:val="28"/>
          <w:lang w:val="en-US" w:eastAsia="zh-CN"/>
        </w:rPr>
        <w:t>附件1</w:t>
      </w:r>
      <w:r>
        <w:rPr>
          <w:rFonts w:hint="eastAsia" w:ascii="仿宋" w:hAnsi="仿宋" w:eastAsia="仿宋" w:cs="仿宋"/>
          <w:b/>
          <w:bCs/>
          <w:color w:val="000000" w:themeColor="text1"/>
          <w:kern w:val="2"/>
          <w:sz w:val="28"/>
          <w:szCs w:val="28"/>
          <w:shd w:val="clear" w:color="auto" w:fill="auto"/>
          <w:lang w:val="en-US" w:eastAsia="zh-CN" w:bidi="ar-SA"/>
          <w14:textFill>
            <w14:solidFill>
              <w14:schemeClr w14:val="tx1"/>
            </w14:solidFill>
          </w14:textFill>
        </w:rPr>
        <w:t>：</w:t>
      </w:r>
    </w:p>
    <w:p>
      <w:pPr>
        <w:pStyle w:val="2"/>
        <w:keepNext w:val="0"/>
        <w:keepLines w:val="0"/>
        <w:widowControl/>
        <w:suppressLineNumbers w:val="0"/>
        <w:wordWrap/>
        <w:spacing w:before="0" w:beforeAutospacing="0" w:after="0" w:afterAutospacing="0" w:line="18" w:lineRule="atLeast"/>
        <w:ind w:left="0" w:right="0"/>
        <w:jc w:val="center"/>
        <w:rPr>
          <w:rStyle w:val="8"/>
          <w:rFonts w:hint="default" w:ascii="方正小标宋简体" w:hAnsi="方正小标宋简体" w:eastAsia="方正小标宋简体" w:cs="方正小标宋简体"/>
          <w:b w:val="0"/>
          <w:bCs w:val="0"/>
          <w:i w:val="0"/>
          <w:iCs w:val="0"/>
          <w:caps w:val="0"/>
          <w:color w:val="333333"/>
          <w:spacing w:val="0"/>
          <w:kern w:val="2"/>
          <w:sz w:val="36"/>
          <w:szCs w:val="36"/>
          <w:lang w:val="en-US" w:eastAsia="zh-CN" w:bidi="ar-SA"/>
        </w:rPr>
      </w:pPr>
      <w:r>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t>教育部思想政治工作司2022年工作要点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Microsoft YaHei UI" w:hAnsi="Microsoft YaHei UI" w:eastAsia="Microsoft YaHei UI" w:cs="Microsoft YaHei UI"/>
          <w:i w:val="0"/>
          <w:iCs w:val="0"/>
          <w:caps w:val="0"/>
          <w:color w:val="333333"/>
          <w:spacing w:val="7"/>
          <w:sz w:val="20"/>
          <w:szCs w:val="20"/>
        </w:rPr>
      </w:pPr>
      <w:r>
        <w:rPr>
          <w:rFonts w:hint="eastAsia" w:ascii="楷体" w:hAnsi="楷体" w:eastAsia="楷体" w:cs="楷体"/>
          <w:kern w:val="2"/>
          <w:sz w:val="28"/>
          <w:szCs w:val="36"/>
          <w:lang w:val="en-US" w:eastAsia="zh-CN" w:bidi="ar-SA"/>
        </w:rPr>
        <w:t>（2022-03-03）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总体要求</w:t>
      </w:r>
      <w:bookmarkStart w:id="0" w:name="_GoBack"/>
      <w:bookmarkEnd w:id="0"/>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以习近平新时代中国特色社会主义思想为指导，深入学习贯彻党的十九大和十九届历次全会精神，深刻认识“两个确立”的决定性意义，增强“四个意识”、坚定“四个自信”、做到“两个维护”，弘扬伟大建党精神，坚持稳中求进工作总基调，聚焦迎接学习贯彻党的二十大这条贯穿全年工作的主线，按照“质量党建、精准思政、积极维稳、系统推进”的总体思路，全面推动高校党建和思想政治工作高质量发展，以实际行动迎接党的二十大胜利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一、精心组织实施高校师生迎接学习宣传党的二十大专项行动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1.夯实思想理论根基。</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指导高校深入学习贯彻党的十九届六中全会精神，巩固拓展党史学习教育成果，推动党史学习教育常态化长效化。系统总结党的十八大以来高校党建和思想政治工作成效经验，筹备召开第28次全国高校党的建设工作会议。在中央党校举办全国公办本科高校党委书记校长提高政治能力专题培训班。深化“领导干部上讲台”“新时代先进人物进校园”等工作，广泛开展理论宣讲、专题培训、热点解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2.深化巡视整改成果。</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持续抓好中央巡视整改“后半篇文章”，确保需要长期推进的整改任务落地落实。配合有关部门推动完善高校党建工作体制机制。健全高校意识形态工作联系机制，实现部党组联系点对各地和任务较重高校的全覆盖。做好与驻部纪检监察组、相关司局的配合联动，加强对中管高校巡视整改工作的指导和督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3.全力营造浓厚氛围。</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组织开展2022年高校师生思想政治状况滚动调查。指导高校围绕“奋进新征程、建功新时代”主旋律，开展“青春献礼二十大，强国有我新征程”主题宣传教育活动，进一步进行爱国主义教育。以“青春奋斗”为重点，会同相关部门开展高校师生服务保障北京冬奥会全国巡讲。分阶段开展“我们这十年”重温寻访、“小我融入大我，青春献给祖国”社会实践、“青春告白祖国”等工作。统筹做好党的二十大重要保障期教育系统安保维稳工作。加强高校宣传思想阵地管理，严防有关错误思潮在校园传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4.迅速掀起学习热潮。</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党的二十大召开后，第一时间组织开展高校师生“校园巡讲、网络巡礼”活动。以“奋进担当”为重点，邀请领导干部、专家学者、时代楷模、英雄模范、最美人物和优秀学生代表等组成宣讲团，开展线上微宣讲接力和线下巡讲。加强青春使命教育，开展“党的二十大与我的人生路”专题研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二、深入构建高质量的高校党建工作体系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5.健全高校党建工作运行机制。</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会同有关部门开展《中国共产党普通高等学校基层组织工作条例》落实情况专项调研检查，“七一”前集中宣传典型做法，推动健全党对高校全面领导的组织体系、制度体系和工作机制。指导第三批新时代高校党建示范创建和质量创优工作培育创建单位做好第一年建设期相关工作，巩固深化前两批示范高校、标杆院系、样板支部工作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6.提升高校基层党组织政治功能。</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推动《教育系统贯彻落实〈党委（党组）意识形态工作责任制实施办法〉的实施细则》有关要求在高校各级党组织落地见效。组织实施院系党组织书记政治能力提升、教师党支部书记“双带头人”队伍质量攻坚、大学生党支部书记骨干培养等专项计划，部省联动开展相关群体全覆盖培训。开展百名院系党组织书记抓党建笔谈、大学生党支部书记党务工作能力展示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7.加强高校党建重点难点问题攻关。</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指导各地各高校积极探索高校党建与事业发展深度融合、以高质量党建引领高校高质量发展的方法路径，及时总结推广“一融双高”有益经验。强化高校党建工作分类指导、精准施策，进一步推动破解低年级大学生党员发展等难题。专项检查民办学校党组织隶属关系调整、落实党建工作进章程等情况。点对点督促推动高校配齐“双带头人”教师党支部书记，提升队伍能力和工作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三、全面推进高校思想政治工作守正创新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8.谋划实施“时代新人培育工程”。</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总结推广“三全育人”综合改革试点经验，开展构建高校思想政治工作体系3年任务台账落实情况督查，推动高校思想政治工作有效经验固化转化。围绕理论武装精准化供给、育人资源全方位开发利用、校园文化育人模块开发、网络产品精准推送、党政军企育人共同体建设等构建育人理念落实机制。围绕理论宣传阐释、实践载体拓展、文化产品供给、网络渠道融合、校外资源协作等构建优质供给牵引机制。推动形成协同联动的组织保障体系，构建育人力量聚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9.提升教师思想政治工作质量。</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指导高校党委拧紧院系党组织和教师党支部责任链条，抓好教师思想政治工作各项制度落实，做到理论武装制度化、国情教育系统化、谈心谈话常态化、联系服务具体化。推动高校党委发挥组织优势、创新机制方法，探索形成党建引领“大先生”涵养的生态和氛围。指导高校加强高层次人才政治引领和政治吸纳，做好高知识群体党员发展工作。总结推广一批青年教师思想政治工作法和青年教师党员发展教育培训工作案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10.创新网络思想政治教育。</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以中国大学生在线、易班网、全国高校思想政治工作网为牵引，建设网络宣传引导矩阵，加强校级新媒体平台和资源建设专项指导。开展200个高校思政类网络公众号建设成效评估，会同有关部门做好专题培训。办好“全国大学生网络文化节”和“全国高校网络教育优秀作品推选展示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11.精细推进学生心理健康教育。</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督促高校落实心理健康教育的人员、场地、经费等政策要求。结合心理健康教育重要节点，开展积极心理品质培育和压力分类疏解等专项行动。强化案例挖掘和数据建模，探索建立精准服务平台。指导高校学生心理健康教育专家指导委员会成立专项工作小组，开展业务攻关和专业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12.全面开展“一站式”学生社区综合管理模式建设。</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加强对试点高校的指导督促，充分发挥交流展示“云平台”作用，开展学生社区党建引领、宿舍文化、朋辈互助、优良学风等主题宣传展示活动，适时召开工作推进现场会，争取实现对1000所左右高校的覆盖，常态化机制化打造学生党建前沿阵地、“三全育人”实践园地、平安校园样板高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四</w:t>
      </w:r>
      <w:r>
        <w:rPr>
          <w:rStyle w:val="8"/>
          <w:rFonts w:hint="eastAsia" w:ascii="黑体" w:hAnsi="黑体" w:eastAsia="黑体" w:cs="黑体"/>
          <w:b w:val="0"/>
          <w:bCs/>
          <w:i w:val="0"/>
          <w:iCs w:val="0"/>
          <w:caps w:val="0"/>
          <w:color w:val="000000" w:themeColor="text1"/>
          <w:spacing w:val="7"/>
          <w:sz w:val="28"/>
          <w:szCs w:val="28"/>
          <w:shd w:val="clear" w:fill="FFFFFF"/>
          <w:lang w:eastAsia="zh-CN"/>
          <w14:textFill>
            <w14:solidFill>
              <w14:schemeClr w14:val="tx1"/>
            </w14:solidFill>
          </w14:textFill>
        </w:rPr>
        <w:t>、</w:t>
      </w: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持续加强高校统一战线工作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13.调研推动高校统战工作。</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根据中央统一部署，开展高校落实《中国共产党统一战线工作条例》调研检查和落实《中共中央关于加强新时代党外知识分子思想政治工作和无党派代表人士队伍建设的意见》专题调研。针对2016年高校统战工作会议召开以来工作进展情况进行全方位调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14.加强涉民族宗教有关工作。</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配合有关部门抓好中央民族工作会议、全国宗教工作会议精神在高校领域的贯彻落实。指导高校加强中华民族共同体意识教育。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15.加强党外知识分子思想政治工作。</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指导开展高校党外知识分子学习贯彻党的二十大精神主题活动，把广大党外知识分子紧密团结在党的周围。加强对高校知识分子“弘扬爱国奋斗精神、建功立业新时代”典型事迹的宣传推广。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五、切实维护高校政治安全和校园稳定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16.提升高校稳定风险研判防范能力。</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17.维护和塑造高校政治安全。</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18.持续深化平安校园建设。</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巩固深化校园安全专项整顿工作成果，健全完善校园及周边治安综合治理长效机制。深入开展国家安全教育线上课堂、知识竞答、教学能力展示等活动。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六、系统强化高校党建和思想政治工作战略支撑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19.打造大数据赋能创新矩阵。</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建设高校党建工作基础数据平台，加强整体性、趋势性、动态性统计分析。探索建立全国高校心理健康大数据动态分析与会商指导平台。建设高校辅导员队伍日常管理和能力提升大数据赋能中心，加强日常工作和优秀案例挖掘转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20.促进骨干队伍建设提质增效。</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统筹做好高校组织、宣传、统战、学工、保卫等部门负责人和院系党组织书记、青年教师新党员、组织员、民办高校党组织书记等队伍的专题培训和日常指导。专项督促未按标准设置专职辅导员岗位或用劳务派遣、人事代理等方式聘用辅导员的高校做好整改。开展“最美高校辅导员”推选展示活动。举办全国高校思想政治工作骨干示范培训班。实施“全国高校辅导员能力提升导航计划”，强化基础性建设、提升性扶持和示范性激励。继续实施高校思想政治工作中青年骨干队伍建设项目、高校网络教育名师培育支持计划、辅导员专业学位攻读计划。办好第九届全国高校辅导员素质能力大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21.强化工作研究力量建设。</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做好高校思想政治工作创新发展中心、队伍培训研修中心建设总结评估和下一周期谋划部署等工作。指导民办高校和高职院校思想政治工作创新发展中心强化研究阐释、经验共享、研修培训。加强对中国高等教育学会思想政治教育分会、宣传工作研究分会、统战工作研究分会、辅导员工作研究分会、保卫学专业委员会和全国党建研究会高校党建研究专业委员会的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黑体" w:hAnsi="黑体" w:eastAsia="黑体" w:cs="黑体"/>
          <w:b w:val="0"/>
          <w:bCs/>
          <w:color w:val="000000" w:themeColor="text1"/>
          <w:sz w:val="28"/>
          <w:szCs w:val="28"/>
          <w14:textFill>
            <w14:solidFill>
              <w14:schemeClr w14:val="tx1"/>
            </w14:solidFill>
          </w14:textFill>
        </w:rPr>
      </w:pPr>
      <w:r>
        <w:rPr>
          <w:rStyle w:val="8"/>
          <w:rFonts w:hint="eastAsia" w:ascii="黑体" w:hAnsi="黑体" w:eastAsia="黑体" w:cs="黑体"/>
          <w:b w:val="0"/>
          <w:bCs/>
          <w:i w:val="0"/>
          <w:iCs w:val="0"/>
          <w:caps w:val="0"/>
          <w:color w:val="000000" w:themeColor="text1"/>
          <w:spacing w:val="7"/>
          <w:sz w:val="28"/>
          <w:szCs w:val="28"/>
          <w:shd w:val="clear" w:fill="FFFFFF"/>
          <w14:textFill>
            <w14:solidFill>
              <w14:schemeClr w14:val="tx1"/>
            </w14:solidFill>
          </w14:textFill>
        </w:rPr>
        <w:t>七、深化创建“让党中央放心、让人民群众满意”的模范机关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22.强化政治司局建设。</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有效提升政治能力、谋划能力、执行能力、沟通能力、风险防控能力，精细化落实中央领导同志指示批示精神、中央重大决策部署和部党组工作要求。坚持定期理论学习制度，抓好司领导班子集体学习，办好青年干部读书班，建立司党支部党史学习教育常态化长效化制度机制。严格执行“三会一课”等制度，推动党员领导干部履行好“一岗双责”。持之以恒落实中央八项规定及其实施细则精神，一严到底纠治“四风”。规范办文办事办会流程，精简会议、文件，切实减轻基层负担。落实统筹推进乡村教育振兴和教育振兴乡村工作要求，完成好对口联系国家乡村振兴重点帮扶县具体任务。</w:t>
      </w:r>
    </w:p>
    <w:p>
      <w:pPr>
        <w:rPr>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65DB78-B020-476A-BD03-3535F0DD52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embedRegular r:id="rId2" w:fontKey="{D14312CD-499E-436C-A188-98EEA8B71C49}"/>
  </w:font>
  <w:font w:name="仿宋">
    <w:panose1 w:val="02010609060101010101"/>
    <w:charset w:val="86"/>
    <w:family w:val="auto"/>
    <w:pitch w:val="default"/>
    <w:sig w:usb0="800002BF" w:usb1="38CF7CFA" w:usb2="00000016" w:usb3="00000000" w:csb0="00040001" w:csb1="00000000"/>
    <w:embedRegular r:id="rId3" w:fontKey="{77E0A222-AFCD-48F0-BC5F-4A2D8633C456}"/>
  </w:font>
  <w:font w:name="方正小标宋简体">
    <w:panose1 w:val="02000000000000000000"/>
    <w:charset w:val="86"/>
    <w:family w:val="auto"/>
    <w:pitch w:val="default"/>
    <w:sig w:usb0="00000001" w:usb1="08000000" w:usb2="00000000" w:usb3="00000000" w:csb0="00040000" w:csb1="00000000"/>
    <w:embedRegular r:id="rId4" w:fontKey="{3AF05A9E-C0EB-4C11-AA4F-94D1FAA859D7}"/>
  </w:font>
  <w:font w:name="楷体">
    <w:panose1 w:val="02010609060101010101"/>
    <w:charset w:val="86"/>
    <w:family w:val="auto"/>
    <w:pitch w:val="default"/>
    <w:sig w:usb0="800002BF" w:usb1="38CF7CFA" w:usb2="00000016" w:usb3="00000000" w:csb0="00040001" w:csb1="00000000"/>
    <w:embedRegular r:id="rId5" w:fontKey="{D50CD110-434B-4442-B014-91BD46A1DB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C0AFC"/>
    <w:rsid w:val="278C0AFC"/>
    <w:rsid w:val="5DAF7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2022-03-03T02:23:00Z</dcterms:created>
  <dc:creator>街角欣影</dc:creator>
  <cp:lastModifiedBy>街角欣影</cp:lastModifiedBy>
  <dcterms:modified xsi:type="dcterms:W3CDTF">2022-03-28T06:33:02Z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F3E99E0B3F844B7C85464B17711D0741</vt:lpwstr>
  </property>
</Properties>
</file>