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Fonts w:hint="eastAsia" w:ascii="微软雅黑" w:hAnsi="微软雅黑" w:eastAsia="微软雅黑" w:cs="微软雅黑"/>
          <w:b w:val="0"/>
          <w:bCs w:val="0"/>
          <w:i w:val="0"/>
          <w:iCs w:val="0"/>
          <w:caps w:val="0"/>
          <w:color w:val="333333"/>
          <w:spacing w:val="0"/>
          <w:sz w:val="45"/>
          <w:szCs w:val="45"/>
          <w:shd w:val="clear" w:fill="FFFFFF"/>
        </w:rPr>
      </w:pPr>
      <w:bookmarkStart w:id="0" w:name="_GoBack"/>
      <w:bookmarkEnd w:id="0"/>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1</w:t>
      </w:r>
      <w:r>
        <w:rPr>
          <w:rFonts w:hint="eastAsia" w:ascii="黑体" w:hAnsi="黑体" w:eastAsia="黑体" w:cs="黑体"/>
          <w:color w:val="00000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pPr>
      <w:r>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t>教育部2022年工作要点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（2022-02-09）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98989"/>
          <w:spacing w:val="0"/>
          <w:sz w:val="16"/>
          <w:szCs w:val="16"/>
          <w:u w:val="none"/>
        </w:rPr>
      </w:pPr>
      <w:r>
        <w:rPr>
          <w:rFonts w:hint="eastAsia" w:ascii="宋体" w:hAnsi="宋体" w:eastAsia="宋体" w:cs="宋体"/>
          <w:i w:val="0"/>
          <w:iCs w:val="0"/>
          <w:caps w:val="0"/>
          <w:color w:val="000000"/>
          <w:spacing w:val="0"/>
          <w:kern w:val="0"/>
          <w:sz w:val="16"/>
          <w:szCs w:val="16"/>
          <w:u w:val="none"/>
          <w:shd w:val="clear" w:fill="FFFFFF"/>
          <w:lang w:val="en-US" w:eastAsia="zh-CN" w:bidi="ar"/>
        </w:rPr>
        <w:t> </w:t>
      </w:r>
      <w:r>
        <w:rPr>
          <w:rFonts w:hint="eastAsia" w:ascii="宋体" w:hAnsi="宋体" w:eastAsia="宋体" w:cs="宋体"/>
          <w:i w:val="0"/>
          <w:iCs w:val="0"/>
          <w:caps w:val="0"/>
          <w:color w:val="898989"/>
          <w:spacing w:val="0"/>
          <w:kern w:val="0"/>
          <w:sz w:val="16"/>
          <w:szCs w:val="16"/>
          <w:u w:val="none"/>
          <w:shd w:val="clear" w:fill="FFFFFF"/>
          <w:lang w:val="en-US" w:eastAsia="zh-CN" w:bidi="ar"/>
        </w:rPr>
        <w:t> </w:t>
      </w:r>
      <w:r>
        <w:rPr>
          <w:rFonts w:hint="eastAsia" w:ascii="宋体" w:hAnsi="宋体" w:eastAsia="宋体" w:cs="宋体"/>
          <w:i w:val="0"/>
          <w:iCs w:val="0"/>
          <w:caps w:val="0"/>
          <w:color w:val="000000"/>
          <w:spacing w:val="0"/>
          <w:kern w:val="0"/>
          <w:sz w:val="16"/>
          <w:szCs w:val="16"/>
          <w:u w:val="none"/>
          <w:shd w:val="clear" w:fill="FFFFFF"/>
          <w:lang w:val="en-US" w:eastAsia="zh-CN" w:bidi="ar"/>
        </w:rPr>
        <w:t> </w:t>
      </w:r>
      <w:r>
        <w:rPr>
          <w:rFonts w:hint="eastAsia" w:ascii="宋体" w:hAnsi="宋体" w:eastAsia="宋体" w:cs="宋体"/>
          <w:i w:val="0"/>
          <w:iCs w:val="0"/>
          <w:caps w:val="0"/>
          <w:color w:val="898989"/>
          <w:spacing w:val="0"/>
          <w:kern w:val="0"/>
          <w:sz w:val="16"/>
          <w:szCs w:val="16"/>
          <w:u w:val="none"/>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2022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作出实质性的贡献。2022年教育工作的总体要求是：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i w:val="0"/>
          <w:iCs w:val="0"/>
          <w:caps w:val="0"/>
          <w:color w:val="333333"/>
          <w:spacing w:val="0"/>
          <w:sz w:val="28"/>
          <w:szCs w:val="28"/>
          <w:shd w:val="clear" w:fill="FFFFFF"/>
        </w:rPr>
        <w:t>一、坚定不移用习近平新时代中国特色社会主义思想铸魂育人，确保教育领域始终成为坚持党的领导的坚强阵地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学习宣传阐释党的创新理论。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长效化制度机制，深入推进党的历史和创新理论进教材、进课堂、进头脑，实施伟大建党精神研究重大专项，深化“四史”教育。深化习近平新时代中国特色社会主义思想原创性系统性学理化学科化研究阐释，启动实施面向2035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始终把政治建设摆在首位。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干部党建工作标准化规范化水平，组织干部离退休制度建立40周年纪念活动。推进新时代关工委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维护教育系统安全稳定。坚持马克思主义在意识形态领域指导地位，严格落实意识形态工作责任制，加强直属机关和高校意识形态阵地管理，指导高校筑牢“三微一端”等阵地。强化保密宣传教育。深化巩固校园安全专项整顿成效。优化教育舆情监测、研判、报告、处置等流程机制。从严从紧科学精准做好教育系统新冠肺炎疫情常态化防控，确保师生生命健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4.坚定不移推进全面从严治党。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案件的查处和通报曝光力度，强化教育警示作用。完成巡视全覆盖任务，推进巡视巡察上下联动，健全巡视整改促进机制。严格落实中央八项规定及其实施细则精神，一严到底纠治“四风”，树立新风，推动形成严的氛围，优化政治生态和育人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5.深入实施“十四五”教育发展规划。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6.落实教育优先发展战略地位。坚持国家财政性教育经费占国内生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完善普惠性学前教育经费保障机制，出台国家层面学前教育生均公用经费标准，推动地方提高并落实公办园生均财政拨款标准或生均公用经费标准、普惠性民办园生均补助标准，提高幼儿园教师工资收入水平。指导各省（区、市）适时调整非义务教育阶段学费（保教费）、住宿费标准。推动各地严格落实普通高中生均公用经费标准，探索职业教育按专业大类差异化生均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7.建设高素质专业化干部队伍。强化教育培训和实践锻炼，提高直属系统干部政治能力和专业素养。坚持新时代好干部标准，以正职和优秀年轻干部为重点，把政治标准放在首位，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二、加快完善德智体美劳全面培养的育人体系，促进学生健康成长全面发展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8.深入推进“双减”。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理。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9.全面推动学校思政课建设。推进习近平新时代中国特色社会主义思想进教材进课堂进头脑，发挥思政课铸魂育人主渠道作用。召开“大思政课”建设推进会，实施“大思政课”建设方案。重点开好“习近平新时代中国特色社会主义思想概论”课程，加强以习近平新时代中国特色社会主义思想为核心内容的课程群建设，组织开展习近平新时代中国特色社会主义思想大学习领航计划系列主题活动。设立一批实践教学基地，建设全国高校思政课教研系统，建好高校思政课教学创新中心。研制普通高校本科专业类课程思政教学指南。统筹推进本硕博、大中小学思政课一体化建设，支持建设一批思政课一体化基地，研制关于进一步加强中小学思政课建设的意见。会同中央宣传部召开马克思主义学院建设推进会，推进马克思主义理论学科本硕博一体化人才培养，提升马克思主义学院建设管理水平。实施高校思政课教师能力提升攻坚计划，“一校一策”推动配齐建强思政课教师队伍，加强研修基地建设，办好“周末理论大讲堂”、骨干教师研修班，建立健全思政课教师“手拉手”帮扶机制。分专业大类深入推进职业院校课程思政建设，举办职业学校思想政治教育课程教师教学能力比赛和中职学校班主任能力比赛。继续开展各类示范培训，提高中小学德育队伍专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10.加强和改进学校思想政治工作。全面实施时代新人培育工程。深化思想政治工作质量提升工程和“三全育人”综合改革，健全“国家—省级—高校”三级网络思政体系运行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发展系统纳入国民教育体系。发挥“五老”优势，继续开展“新时代好少年”主题教育读书活动、“读懂中国”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11.促进学生身心健康全面发展。践行健康第一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学生体质健康促进工作，实现儿童青少年总体近视率比2021年下降0.5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12.加快构建中国特色高质量教材体系。总结《全国大中小学教材建设规划（2019—2022年）》实施情况，督促指导地方和高校健全教材领导和工作机制。印发教材工作责任追究指导意见。印发修订后的义务教育课程方案和课程标准，启动各学科教材编修。完成中等职业学校三科统编教材和数学等七科公共基础课程教材编审，于2022年秋季学期投入使用。修订已出版相关教育部马工程重点教材，完成在编在审马工程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规划教材。全面规范教材、教辅及课外读物进校园管理，严格教材审核把关，加强数字教材建设与管理。完善中小学地方课程管理制度。加强首届全国教材建设奖获奖成果宣传推广。遴选确定一批国家教材建设重点研究基地。启动研制新时代大中小学教材建设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13.加强学校铸牢中华民族共同体意识教育。以增进共同性为方向，推动铸牢中华民族共同体意识教育与中小学德育和高校思想政治工作紧密融合。进一步提高各类民族班专项计划精准度契合度。继续实施新疆班西藏班校园足球融合赛事。开展“组团式”援疆教育人才选派工作。会同有关部门加强铸牢中华民族共同体意识研究基地建设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14.提升国家通用语言文字普及水平和质量。研制国家语言发展规划。落实《国家语言文字事业“十四五”发展规划》。实施国家通用语言文字普及提升工程和推普助力乡村振兴计划，指导普通话普及率低于全国平均水平的省份实施“一地一策”。加强民族地区推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诵写讲大赛。加强全球中文学习平台建设。加强高等学校语言文字工作。建设国家语言文字推广基地。加强语言文字规范化标准化信息化建设，发布《中小学生普通话水平测试等级标准》。实施《国家语委“十四五”科研规划》，推进语言文字人才队伍、科研机构、语言学学科建设。印发加强新时代语言文字国际合作交流文件。编制实施《国际中文教育发展规划（2021-2025年）》，完善国际中文教育标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三、积极回应群众关切，不断促进教育发展成果更多更公平惠及全体人民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15.推进义务教育优质均衡发展。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验区。持续推进基础教育优秀教学成果推广应用计划。充分发挥基础教育教学指导委员会指导教学改革作用。开展基础教育精品课遴选工作。建立利用社会资源支持学校教育教学和课后服务的有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16.统筹推进乡村教育振兴和教育振兴乡村工作。研制教育系统乡村振兴指导性文件，贯穿打通县域基础教育、市域职业教育和省域高等教育，形成具有教育特色、发挥教育优势的乡村振兴工作法。持续巩固拓展教育脱贫攻坚成果，推进控辍保学从动态清零转向常态清零。把乡村教育融入乡村建设行动,更好发挥农村中小学的教育中心、文化中心作用。扩大实施中小学银龄计划。会同有关部门实施“八一爱民学校”援建，做好东部地区对口支援国家乡村振兴重点帮扶县中职、普高工作。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县主动对接当地经济社会发展需求，发挥百所乡村振兴人才培养优质校引领作用，助力培养高素质农民和农村实用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17.加快发展学前教育、普通高中教育和特殊教育。实施“十四五”学前教育发展提升行动计划，进一步提升学前教育普及普惠水平，推动各地以县为单位完善普惠性资源布局规划，加强城镇新增人口、流动人口集中地区和乡村幼儿园建设。开展城镇小区配套园治理“回头看”。加大公办园教师核编补充力度，按同工同酬要求落实教师待遇。指导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18.促进高校毕业生更加充分更高质量就业。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生基层就业支持体系，推动优化各类政策性岗位招考时间安排。建立健全就业育人支持体系，强化就业指导服务，打造一批就业指导名师、金课和优秀教材。实施宏志助航计划，重点帮扶就业困难毕业生群体。推动就业与招生培养联动改革，实施供需对接就业育人项目。落实就业“一把手”工程，配齐建强就业工作队伍。组织开展就业育人典型案例和毕业生就业创业典型人物总结宣传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四、全面提升教育服务能力，为构建新发展格局提供坚强支撑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19.加快培养、引进国家急需的高层次紧缺人才。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基计划实施力度，支持实施本硕博一体化人才培养改革。研制《关于加强碳达峰碳中和人才培养体系建设行动方案》。启动国家产教融合研究生联合培养基地建设，培养工程技术和国防科技人才。印发《关于加强和改进新时代高等学校人才队伍建设的意见》。修订《“长江学者奖励计划”管理办法》，实施好国家重大人才工程。大力加强人才国际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20.支撑高水平科技自立自强。加快战略科技力量建设，强化有组织科研，坚持“四个面向”，组织大任务、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高校智库作用，提高咨政建言质量和社会服务能力。加强科研伦理规范和监管，加强科研诚信教育，弘扬科学家精神，营造良好创新生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21.增强职业教育适应性。引导中职学校多样化发展，培育一批优质中职学校。实施中职、高职办学条件达标工程。稳步发展职业本科教育，支持整合优质高职资源设立一批本科层次职业学校。深化产教融合、校企合作，推动职业教育股份制、混合所有制办学，推动职业教育集团（联盟）实体化运作，支持校企共建“双师型”教师培养培训基地、企业实践基地。印发新版专业简介和一批专业教学标准。推进实施《职业学校学生实习管理规定》，加强实习管理。发展中国特色学徒制，推进岗课赛证综合育人。实施先进制造业现场工程师培养专项计划，加强家政、养老、托育等民生紧缺领域人才培养。积极推动技能型社会建设，大力营造国家重视技能、社会崇尚技能、人人享有技能的社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22.提升高等教育服务创新发展能力。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推进新工科、新医科、新农科、新文科建设，加快培养理工农医类专业紧缺人才。加强卓越工程师培养，推动高校和企业共同设计培养目标、制定培养方案、实施培养过程，实行校企“双导师制”。打造一批未来技术学院、现代产业学院、高水平公共卫生学院和专业特色学院，推进国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加快紧缺领域新形态教学资源建设。规范高等学校在线开放课程教学管理。实施新时代振兴中西部高等教育攻坚行动，打造中西部高等教育发展“西三角”，实施“慕课西部行计划”2.0，精准实施对口支援西部高校工作，深入实施高校银龄教师支援西部计划。发挥四方联动机制作用，纵深推进部省合建工作。加强部部共建合作，启动省部共建2.0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四五”时期高校设置规划，统筹开展高校设置工作与独立学院转设。合理确定高校办学规模和结构，加强高校异地办学等机构规范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23.深入推进“双一流”建设。扎根中国大地、瞄准世界一流，引导建设高校强化学科重点建设，加强马克思主义理论学科建设，实施一流学科培优行动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模式。开展教育部与各省（区、市）新一轮“双一流”重点共建，加大统筹协调，支持各高校“双一流”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24.提高继续教育服务供给能力。加快构建服务全民终身学习的教育体系。规范发展高等继续教育，出台关于推进新时代普通高校举办学历继续教育改革的实施意见，加强对普通高等学校举办非学历教育规范管理，对直属高校非学历教育领域问题进行专项整治。修订高等学历继续教育专业设置管理办法，研制专业教学基本要求和办学基本条件要求、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五、深化改革扩大开放，持续为教育发展注入强大动力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25.深化新时代教育评价改革。坚决推进“破五唯”，落实部门、部内、地方、高校工作清单，加强典型经验总结和宣传推广。加大对违反“十不得一严禁”行为监测和整改力度。出台幼儿园保教质量评估指南，落实义务教育质量评价指南、普通高中办学质量评价指南。研制《中学生综合素质评价工作指南》《学生发展指导工作指南》。落实哲学社科领域破除“唯论文”、正确认识和规范使用高校人才称号等文件，突出创新价值、能力、贡献的评价导向。组织开展第九届高等学校科学研究优秀成果奖（人文社会科学）评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26.积极稳妥推进考试招生制度改革。推进中考改革、推动各省（区、市）全面推进招生录取综合改革，加快实现省级统一命题，继续组织开展中考命题评估。深化高考综合改革，稳妥启动第五批高考综合改革，指导有关省份因地制宜出台改革方案并抓好组织实施。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研考护航行动”，平稳有序做好高考、研考组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27.推动区域教育创新发展。深化“四点一线一面”，强化统筹，提升区域办学水平和服务创新能力。推进京津冀教育协同发展，重点推进首批疏解项目选址、经费支持。做好长三角教育现代化监测评估，发布长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医类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28.实施教育数字化战略行动。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推教师队伍建设试点工作。建立教育信息化产品和服务进校园审核制度。强化关键信息基础设施保障，提升个人信息保护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29.全面推进依法治教。深入推进习近平法治思想进教材进课堂进头脑。配合做好职业教育法、学前教育法、学位法、教师法审议，推进国家通用语言文字法修订，推动终身学习法、教育法典化立法研究，继续实施规章建设行动计划。落实家庭教育促进法，会同相关部门研制构建家校社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30.深化教育督导体制机制改革。推进《教育督导条例》修订，指导各地制定《教育督导问责实施办法》。继续把“双减”督导作为教育督导“一号工程”，加大督办、通报、约谈和问责力度。做好省级人民政府履行教育职责评价，继续把“双减”“两个只增不减”和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31.支持和规范民办教育健康发展。持续深化民办教育分类管理改革，发挥民办教育工作部际联席会议制度作用，完善民办学校分类扶持、分类管理的政策举措，指导各地加快出台配套政策。积极稳慎推进规范民办义务教育发展专项工作，加快优化义务教育结构，确保义务教育学位主要由公办学校和政府购买服务方式提供。研制民办学校举办者变更管理办法，维护教育公益属性，研制加强对民办学校全方位督导的指导文件，引导民办教育有序健康高质量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32.推进高水平教育对外开放。举办中外高级别人文交流机制会议，推进共建“一带一路”教育行动高质量发展，加强同东盟职业教育、学历互认等合作，建立中国—东盟教育高官磋商机制，办好中国—东盟教育交流周。实施“未来非洲—中非职业教育合作计划”，举办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资源赴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绕开放科学的国际合作，继续办好国际人工智能与教育会议、世界慕课与在线教育大会、“一带一路”青年创意与遗产论坛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六、把教师作为教育发展的第一资源，打造高素质专业化创新型教师队伍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33.加强教师思想政治和师德师风建设。持续推进高校教师思想政治建设专项工作。落实《关于完善高校教师思想政治和师德师风建设工作体制机制的指导意见》。选树宣传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34.全面夯实教师发展之基。实施新时代基础教育强师计划，重点建设一批国家师范教育基地、国家教师队伍建设改革实验区，实施师范教育协同提质计划。实施中西部欠发达地区优秀教师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35.完善教师管理与待遇保障。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师待遇，支持艰苦边远地区改善乡村教师周转宿舍。深化义务教育教师“县管校聘”管理改革，有序推进教师交流轮岗。推进中小学教师减负工作，严控进校园事项，督促各地落实已经出台的中小学教师减负清单。继续实施“乡村优秀青年教师培养奖励计划”。开展2022年国家级教学成果奖评审。</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4722D"/>
    <w:rsid w:val="20F4722D"/>
    <w:rsid w:val="21417F4F"/>
    <w:rsid w:val="342809DB"/>
    <w:rsid w:val="7EEB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2022-03-01T06:23:00Z</dcterms:created>
  <dc:creator>街角欣影</dc:creator>
  <cp:lastModifiedBy>艺传行政办公室</cp:lastModifiedBy>
  <dcterms:modified xsi:type="dcterms:W3CDTF">2022-03-02T02:03:38Z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55981FD328D2407183123B6564EF5DAE</vt:lpwstr>
  </property>
</Properties>
</file>