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528" w:type="dxa"/>
        <w:tblInd w:w="-106" w:type="dxa"/>
        <w:tblLayout w:type="fixed"/>
        <w:tblCellMar>
          <w:top w:w="0" w:type="dxa"/>
          <w:left w:w="108" w:type="dxa"/>
          <w:bottom w:w="0" w:type="dxa"/>
          <w:right w:w="108" w:type="dxa"/>
        </w:tblCellMar>
      </w:tblPr>
      <w:tblGrid>
        <w:gridCol w:w="9528"/>
      </w:tblGrid>
      <w:tr>
        <w:tblPrEx>
          <w:tblLayout w:type="fixed"/>
          <w:tblCellMar>
            <w:top w:w="0" w:type="dxa"/>
            <w:left w:w="108" w:type="dxa"/>
            <w:bottom w:w="0" w:type="dxa"/>
            <w:right w:w="108" w:type="dxa"/>
          </w:tblCellMar>
        </w:tblPrEx>
        <w:trPr>
          <w:trHeight w:val="1276" w:hRule="atLeast"/>
        </w:trPr>
        <w:tc>
          <w:tcPr>
            <w:tcW w:w="9528" w:type="dxa"/>
            <w:tcBorders>
              <w:top w:val="nil"/>
              <w:left w:val="nil"/>
              <w:bottom w:val="single" w:color="FF0000" w:sz="18" w:space="0"/>
              <w:right w:val="nil"/>
            </w:tcBorders>
            <w:shd w:val="clear" w:color="000000" w:fill="FFFFFF"/>
          </w:tcPr>
          <w:p>
            <w:pPr>
              <w:autoSpaceDE w:val="0"/>
              <w:autoSpaceDN w:val="0"/>
              <w:adjustRightInd w:val="0"/>
              <w:jc w:val="center"/>
              <w:rPr>
                <w:rFonts w:ascii="黑体" w:hAnsi="黑体" w:eastAsia="黑体" w:cs="Times New Roman"/>
                <w:b/>
                <w:bCs/>
                <w:color w:val="FF0000"/>
                <w:spacing w:val="-10"/>
                <w:kern w:val="0"/>
                <w:sz w:val="56"/>
                <w:szCs w:val="56"/>
                <w:lang w:val="zh-CN"/>
              </w:rPr>
            </w:pPr>
            <w:r>
              <w:rPr>
                <w:rFonts w:hint="eastAsia" w:ascii="黑体" w:hAnsi="黑体" w:eastAsia="黑体" w:cs="黑体"/>
                <w:b/>
                <w:bCs/>
                <w:color w:val="FF0000"/>
                <w:spacing w:val="-10"/>
                <w:kern w:val="0"/>
                <w:sz w:val="56"/>
                <w:szCs w:val="56"/>
                <w:lang w:val="zh-CN"/>
              </w:rPr>
              <w:t>江苏省教育系统党的建设研究会文件</w:t>
            </w:r>
          </w:p>
          <w:p>
            <w:pPr>
              <w:autoSpaceDE w:val="0"/>
              <w:autoSpaceDN w:val="0"/>
              <w:adjustRightInd w:val="0"/>
              <w:spacing w:line="480" w:lineRule="exact"/>
              <w:jc w:val="center"/>
              <w:rPr>
                <w:rFonts w:ascii="宋体" w:hAnsi="???????" w:cs="Times New Roman"/>
                <w:kern w:val="0"/>
                <w:sz w:val="28"/>
                <w:szCs w:val="28"/>
                <w:lang w:val="zh-CN"/>
              </w:rPr>
            </w:pPr>
            <w:r>
              <w:rPr>
                <w:rFonts w:hint="eastAsia" w:ascii="宋体" w:hAnsi="???????" w:cs="宋体"/>
                <w:kern w:val="0"/>
                <w:sz w:val="28"/>
                <w:szCs w:val="28"/>
                <w:lang w:val="zh-CN"/>
              </w:rPr>
              <w:t>苏教党研（</w:t>
            </w:r>
            <w:r>
              <w:rPr>
                <w:rFonts w:ascii="宋体" w:hAnsi="???????" w:cs="宋体"/>
                <w:kern w:val="0"/>
                <w:sz w:val="28"/>
                <w:szCs w:val="28"/>
                <w:lang w:val="zh-CN"/>
              </w:rPr>
              <w:t>2017</w:t>
            </w:r>
            <w:r>
              <w:rPr>
                <w:rFonts w:hint="eastAsia" w:ascii="宋体" w:hAnsi="???????" w:cs="宋体"/>
                <w:kern w:val="0"/>
                <w:sz w:val="28"/>
                <w:szCs w:val="28"/>
                <w:lang w:val="zh-CN"/>
              </w:rPr>
              <w:t>）</w:t>
            </w:r>
            <w:r>
              <w:rPr>
                <w:rFonts w:ascii="宋体" w:hAnsi="???????" w:cs="宋体"/>
                <w:kern w:val="0"/>
                <w:sz w:val="28"/>
                <w:szCs w:val="28"/>
                <w:lang w:val="zh-CN"/>
              </w:rPr>
              <w:t>1</w:t>
            </w:r>
            <w:r>
              <w:rPr>
                <w:rFonts w:hint="eastAsia" w:ascii="宋体" w:hAnsi="???????" w:cs="宋体"/>
                <w:kern w:val="0"/>
                <w:sz w:val="28"/>
                <w:szCs w:val="28"/>
                <w:lang w:val="zh-CN"/>
              </w:rPr>
              <w:t>号</w:t>
            </w:r>
          </w:p>
        </w:tc>
      </w:tr>
    </w:tbl>
    <w:p>
      <w:pPr>
        <w:autoSpaceDE w:val="0"/>
        <w:autoSpaceDN w:val="0"/>
        <w:adjustRightInd w:val="0"/>
        <w:spacing w:line="560" w:lineRule="exact"/>
        <w:jc w:val="center"/>
        <w:rPr>
          <w:rFonts w:ascii="华文中宋" w:hAnsi="华文中宋" w:eastAsia="华文中宋" w:cs="Times New Roman"/>
          <w:b/>
          <w:bCs/>
          <w:kern w:val="0"/>
          <w:sz w:val="44"/>
          <w:szCs w:val="44"/>
          <w:lang w:val="zh-CN"/>
        </w:rPr>
      </w:pPr>
      <w:r>
        <w:rPr>
          <w:rFonts w:hint="eastAsia" w:ascii="华文中宋" w:hAnsi="华文中宋" w:eastAsia="华文中宋" w:cs="黑体"/>
          <w:b/>
          <w:bCs/>
          <w:kern w:val="0"/>
          <w:sz w:val="44"/>
          <w:szCs w:val="44"/>
          <w:lang w:val="zh-CN"/>
        </w:rPr>
        <w:t>关于公布</w:t>
      </w:r>
      <w:r>
        <w:rPr>
          <w:rFonts w:ascii="华文中宋" w:hAnsi="华文中宋" w:eastAsia="华文中宋" w:cs="黑体"/>
          <w:b/>
          <w:bCs/>
          <w:kern w:val="0"/>
          <w:sz w:val="44"/>
          <w:szCs w:val="44"/>
          <w:lang w:val="zh-CN"/>
        </w:rPr>
        <w:t>2017</w:t>
      </w:r>
      <w:r>
        <w:rPr>
          <w:rFonts w:hint="eastAsia" w:ascii="华文中宋" w:hAnsi="华文中宋" w:eastAsia="华文中宋" w:cs="黑体"/>
          <w:b/>
          <w:bCs/>
          <w:kern w:val="0"/>
          <w:sz w:val="44"/>
          <w:szCs w:val="44"/>
          <w:lang w:val="zh-CN"/>
        </w:rPr>
        <w:t>年度江苏省教育系统</w:t>
      </w:r>
    </w:p>
    <w:p>
      <w:pPr>
        <w:autoSpaceDE w:val="0"/>
        <w:autoSpaceDN w:val="0"/>
        <w:adjustRightInd w:val="0"/>
        <w:spacing w:line="560" w:lineRule="exact"/>
        <w:jc w:val="center"/>
        <w:rPr>
          <w:rFonts w:ascii="华文中宋" w:hAnsi="华文中宋" w:eastAsia="华文中宋" w:cs="黑体"/>
          <w:b/>
          <w:bCs/>
          <w:kern w:val="0"/>
          <w:sz w:val="44"/>
          <w:szCs w:val="44"/>
          <w:lang w:val="zh-CN"/>
        </w:rPr>
      </w:pPr>
      <w:r>
        <w:rPr>
          <w:rFonts w:hint="eastAsia" w:ascii="华文中宋" w:hAnsi="华文中宋" w:eastAsia="华文中宋" w:cs="黑体"/>
          <w:b/>
          <w:bCs/>
          <w:kern w:val="0"/>
          <w:sz w:val="44"/>
          <w:szCs w:val="44"/>
          <w:lang w:val="zh-CN"/>
        </w:rPr>
        <w:t>党建研究会立项课题的通知</w:t>
      </w:r>
    </w:p>
    <w:p>
      <w:pPr>
        <w:autoSpaceDE w:val="0"/>
        <w:autoSpaceDN w:val="0"/>
        <w:adjustRightInd w:val="0"/>
        <w:spacing w:line="560" w:lineRule="exact"/>
        <w:jc w:val="center"/>
        <w:rPr>
          <w:rFonts w:ascii="华文中宋" w:hAnsi="华文中宋" w:eastAsia="华文中宋" w:cs="Times New Roman"/>
          <w:b/>
          <w:bCs/>
          <w:kern w:val="0"/>
          <w:sz w:val="44"/>
          <w:szCs w:val="44"/>
          <w:lang w:val="zh-CN"/>
        </w:rPr>
      </w:pPr>
    </w:p>
    <w:p>
      <w:pPr>
        <w:autoSpaceDE w:val="0"/>
        <w:autoSpaceDN w:val="0"/>
        <w:adjustRightInd w:val="0"/>
        <w:spacing w:line="520" w:lineRule="exact"/>
        <w:rPr>
          <w:rFonts w:ascii="仿宋" w:hAnsi="仿宋" w:eastAsia="仿宋" w:cs="Times New Roman"/>
          <w:color w:val="333333"/>
          <w:kern w:val="0"/>
          <w:sz w:val="32"/>
          <w:szCs w:val="32"/>
        </w:rPr>
      </w:pPr>
      <w:r>
        <w:rPr>
          <w:rFonts w:hint="eastAsia" w:ascii="仿宋" w:hAnsi="仿宋" w:eastAsia="仿宋" w:cs="仿宋"/>
          <w:color w:val="333333"/>
          <w:kern w:val="0"/>
          <w:sz w:val="32"/>
          <w:szCs w:val="32"/>
        </w:rPr>
        <w:t>各会员单位：</w:t>
      </w:r>
    </w:p>
    <w:p>
      <w:pPr>
        <w:autoSpaceDE w:val="0"/>
        <w:autoSpaceDN w:val="0"/>
        <w:adjustRightInd w:val="0"/>
        <w:spacing w:line="520" w:lineRule="exact"/>
        <w:ind w:firstLine="640"/>
        <w:rPr>
          <w:rFonts w:ascii="仿宋" w:hAnsi="仿宋" w:eastAsia="仿宋" w:cs="Times New Roman"/>
          <w:kern w:val="0"/>
          <w:sz w:val="32"/>
          <w:szCs w:val="32"/>
          <w:lang w:val="zh-CN"/>
        </w:rPr>
      </w:pPr>
      <w:r>
        <w:rPr>
          <w:rFonts w:ascii="仿宋" w:hAnsi="仿宋" w:eastAsia="仿宋" w:cs="仿宋"/>
          <w:kern w:val="0"/>
          <w:sz w:val="32"/>
          <w:szCs w:val="32"/>
          <w:lang w:val="zh-CN"/>
        </w:rPr>
        <w:t>2017</w:t>
      </w:r>
      <w:r>
        <w:rPr>
          <w:rFonts w:hint="eastAsia" w:ascii="仿宋" w:hAnsi="仿宋" w:eastAsia="仿宋" w:cs="仿宋"/>
          <w:kern w:val="0"/>
          <w:sz w:val="32"/>
          <w:szCs w:val="32"/>
          <w:lang w:val="zh-CN"/>
        </w:rPr>
        <w:t>年度共收到各高校课题申报材料</w:t>
      </w:r>
      <w:r>
        <w:rPr>
          <w:rFonts w:ascii="仿宋" w:hAnsi="仿宋" w:eastAsia="仿宋" w:cs="仿宋"/>
          <w:kern w:val="0"/>
          <w:sz w:val="32"/>
          <w:szCs w:val="32"/>
          <w:lang w:val="zh-CN"/>
        </w:rPr>
        <w:t>824</w:t>
      </w:r>
      <w:r>
        <w:rPr>
          <w:rFonts w:hint="eastAsia" w:ascii="仿宋" w:hAnsi="仿宋" w:eastAsia="仿宋" w:cs="仿宋"/>
          <w:kern w:val="0"/>
          <w:sz w:val="32"/>
          <w:szCs w:val="32"/>
          <w:lang w:val="zh-CN"/>
        </w:rPr>
        <w:t>项，经专家组评审，确定对</w:t>
      </w:r>
      <w:r>
        <w:rPr>
          <w:rFonts w:ascii="仿宋" w:hAnsi="仿宋" w:eastAsia="仿宋" w:cs="仿宋"/>
          <w:kern w:val="0"/>
          <w:sz w:val="32"/>
          <w:szCs w:val="32"/>
          <w:lang w:val="zh-CN"/>
        </w:rPr>
        <w:t>16</w:t>
      </w:r>
      <w:r>
        <w:rPr>
          <w:rFonts w:hint="eastAsia" w:ascii="仿宋" w:hAnsi="仿宋" w:eastAsia="仿宋" w:cs="仿宋"/>
          <w:kern w:val="0"/>
          <w:sz w:val="32"/>
          <w:szCs w:val="32"/>
          <w:lang w:val="zh-CN"/>
        </w:rPr>
        <w:t>9项课题予以立项，其中重点课题</w:t>
      </w:r>
      <w:r>
        <w:rPr>
          <w:rFonts w:ascii="仿宋" w:hAnsi="仿宋" w:eastAsia="仿宋" w:cs="仿宋"/>
          <w:kern w:val="0"/>
          <w:sz w:val="32"/>
          <w:szCs w:val="32"/>
          <w:lang w:val="zh-CN"/>
        </w:rPr>
        <w:t>20</w:t>
      </w:r>
      <w:r>
        <w:rPr>
          <w:rFonts w:hint="eastAsia" w:ascii="仿宋" w:hAnsi="仿宋" w:eastAsia="仿宋" w:cs="仿宋"/>
          <w:kern w:val="0"/>
          <w:sz w:val="32"/>
          <w:szCs w:val="32"/>
          <w:lang w:val="zh-CN"/>
        </w:rPr>
        <w:t>项、一般课题</w:t>
      </w:r>
      <w:r>
        <w:rPr>
          <w:rFonts w:ascii="仿宋" w:hAnsi="仿宋" w:eastAsia="仿宋" w:cs="仿宋"/>
          <w:kern w:val="0"/>
          <w:sz w:val="32"/>
          <w:szCs w:val="32"/>
          <w:lang w:val="zh-CN"/>
        </w:rPr>
        <w:t>14</w:t>
      </w:r>
      <w:r>
        <w:rPr>
          <w:rFonts w:hint="eastAsia" w:ascii="仿宋" w:hAnsi="仿宋" w:eastAsia="仿宋" w:cs="仿宋"/>
          <w:kern w:val="0"/>
          <w:sz w:val="32"/>
          <w:szCs w:val="32"/>
          <w:lang w:val="zh-CN"/>
        </w:rPr>
        <w:t>5项、委托课题4项（详见附件）。现将有关事项通知如下：</w:t>
      </w:r>
    </w:p>
    <w:p>
      <w:pPr>
        <w:autoSpaceDE w:val="0"/>
        <w:autoSpaceDN w:val="0"/>
        <w:adjustRightInd w:val="0"/>
        <w:spacing w:line="520" w:lineRule="exact"/>
        <w:ind w:firstLine="640"/>
        <w:rPr>
          <w:rFonts w:ascii="仿宋" w:hAnsi="仿宋" w:eastAsia="仿宋" w:cs="Times New Roman"/>
          <w:kern w:val="0"/>
          <w:sz w:val="32"/>
          <w:szCs w:val="32"/>
          <w:lang w:val="zh-CN"/>
        </w:rPr>
      </w:pPr>
      <w:r>
        <w:rPr>
          <w:rFonts w:ascii="仿宋" w:hAnsi="仿宋" w:eastAsia="仿宋" w:cs="仿宋"/>
          <w:b/>
          <w:bCs/>
          <w:color w:val="333333"/>
          <w:kern w:val="0"/>
          <w:sz w:val="32"/>
          <w:szCs w:val="32"/>
        </w:rPr>
        <w:t>1</w:t>
      </w:r>
      <w:r>
        <w:rPr>
          <w:rFonts w:hint="eastAsia" w:ascii="仿宋" w:hAnsi="仿宋" w:eastAsia="仿宋" w:cs="仿宋"/>
          <w:b/>
          <w:bCs/>
          <w:color w:val="333333"/>
          <w:kern w:val="0"/>
          <w:sz w:val="32"/>
          <w:szCs w:val="32"/>
        </w:rPr>
        <w:t>.</w:t>
      </w:r>
      <w:r>
        <w:rPr>
          <w:rFonts w:hint="eastAsia" w:ascii="仿宋" w:hAnsi="仿宋" w:eastAsia="仿宋" w:cs="仿宋"/>
          <w:kern w:val="0"/>
          <w:sz w:val="32"/>
          <w:szCs w:val="32"/>
          <w:lang w:val="zh-CN"/>
        </w:rPr>
        <w:t>各单位要高度重视课题研究工作，定期了解课题进展情况并给予必要支持；各课题负责人要按照确定的内容，认真组织开展课题研究，确保按时间结题。</w:t>
      </w:r>
    </w:p>
    <w:p>
      <w:pPr>
        <w:widowControl/>
        <w:spacing w:line="520" w:lineRule="exact"/>
        <w:ind w:firstLine="562"/>
        <w:rPr>
          <w:rFonts w:ascii="仿宋" w:hAnsi="仿宋" w:eastAsia="仿宋" w:cs="Times New Roman"/>
          <w:kern w:val="0"/>
          <w:sz w:val="32"/>
          <w:szCs w:val="32"/>
          <w:lang w:val="zh-CN"/>
        </w:rPr>
      </w:pPr>
      <w:r>
        <w:rPr>
          <w:rFonts w:ascii="仿宋" w:hAnsi="仿宋" w:eastAsia="仿宋" w:cs="仿宋"/>
          <w:b/>
          <w:bCs/>
          <w:color w:val="333333"/>
          <w:kern w:val="0"/>
          <w:sz w:val="32"/>
          <w:szCs w:val="32"/>
        </w:rPr>
        <w:t>2</w:t>
      </w:r>
      <w:r>
        <w:rPr>
          <w:rFonts w:hint="eastAsia" w:ascii="仿宋" w:hAnsi="仿宋" w:eastAsia="仿宋" w:cs="仿宋"/>
          <w:b/>
          <w:bCs/>
          <w:color w:val="333333"/>
          <w:kern w:val="0"/>
          <w:sz w:val="32"/>
          <w:szCs w:val="32"/>
        </w:rPr>
        <w:t>．</w:t>
      </w:r>
      <w:r>
        <w:rPr>
          <w:rFonts w:hint="eastAsia" w:ascii="仿宋" w:hAnsi="仿宋" w:eastAsia="仿宋" w:cs="仿宋"/>
          <w:kern w:val="0"/>
          <w:sz w:val="32"/>
          <w:szCs w:val="32"/>
          <w:lang w:val="zh-CN"/>
        </w:rPr>
        <w:t>对于重点课题和委托课题参照以往做法直接给予经费支持；一般课题立项后不拨付经费，待课题结项后组织进行成果评优，获奖项目分别给予</w:t>
      </w:r>
      <w:r>
        <w:rPr>
          <w:rFonts w:ascii="仿宋" w:hAnsi="仿宋" w:eastAsia="仿宋" w:cs="仿宋"/>
          <w:kern w:val="0"/>
          <w:sz w:val="32"/>
          <w:szCs w:val="32"/>
          <w:lang w:val="zh-CN"/>
        </w:rPr>
        <w:t>1000-5000</w:t>
      </w:r>
      <w:r>
        <w:rPr>
          <w:rFonts w:hint="eastAsia" w:ascii="仿宋" w:hAnsi="仿宋" w:eastAsia="仿宋" w:cs="仿宋"/>
          <w:kern w:val="0"/>
          <w:sz w:val="32"/>
          <w:szCs w:val="32"/>
          <w:lang w:val="zh-CN"/>
        </w:rPr>
        <w:t>元的奖励。</w:t>
      </w:r>
    </w:p>
    <w:p>
      <w:pPr>
        <w:widowControl/>
        <w:spacing w:line="520" w:lineRule="exact"/>
        <w:ind w:firstLine="562"/>
        <w:rPr>
          <w:rFonts w:ascii="仿宋" w:hAnsi="仿宋" w:eastAsia="仿宋" w:cs="Times New Roman"/>
          <w:kern w:val="0"/>
          <w:sz w:val="32"/>
          <w:szCs w:val="32"/>
          <w:lang w:val="zh-CN"/>
        </w:rPr>
      </w:pPr>
      <w:r>
        <w:rPr>
          <w:rFonts w:ascii="仿宋" w:hAnsi="仿宋" w:eastAsia="仿宋" w:cs="仿宋"/>
          <w:b/>
          <w:bCs/>
          <w:color w:val="333333"/>
          <w:kern w:val="0"/>
          <w:sz w:val="32"/>
          <w:szCs w:val="32"/>
        </w:rPr>
        <w:t>3</w:t>
      </w:r>
      <w:r>
        <w:rPr>
          <w:rFonts w:hint="eastAsia" w:ascii="仿宋" w:hAnsi="仿宋" w:eastAsia="仿宋" w:cs="仿宋"/>
          <w:kern w:val="0"/>
          <w:sz w:val="32"/>
          <w:szCs w:val="32"/>
          <w:lang w:val="zh-CN"/>
        </w:rPr>
        <w:t>.课题研究过程要加强沟通联系。党建研究会秘书处联系人：李红梅，联系电话：</w:t>
      </w:r>
      <w:r>
        <w:rPr>
          <w:rFonts w:ascii="仿宋" w:hAnsi="仿宋" w:eastAsia="仿宋" w:cs="仿宋"/>
          <w:kern w:val="0"/>
          <w:sz w:val="32"/>
          <w:szCs w:val="32"/>
          <w:lang w:val="zh-CN"/>
        </w:rPr>
        <w:t>025-85891601</w:t>
      </w:r>
      <w:r>
        <w:rPr>
          <w:rFonts w:hint="eastAsia" w:ascii="仿宋" w:hAnsi="仿宋" w:eastAsia="仿宋" w:cs="仿宋"/>
          <w:kern w:val="0"/>
          <w:sz w:val="32"/>
          <w:szCs w:val="32"/>
          <w:lang w:val="zh-CN"/>
        </w:rPr>
        <w:t>。电子邮箱：</w:t>
      </w:r>
      <w:r>
        <w:fldChar w:fldCharType="begin"/>
      </w:r>
      <w:r>
        <w:instrText xml:space="preserve"> HYPERLINK "mailto:yuqiong@njnu.edu.cn" </w:instrText>
      </w:r>
      <w:r>
        <w:fldChar w:fldCharType="separate"/>
      </w:r>
      <w:r>
        <w:rPr>
          <w:rStyle w:val="8"/>
          <w:rFonts w:ascii="仿宋" w:hAnsi="仿宋" w:eastAsia="仿宋" w:cs="仿宋"/>
          <w:kern w:val="0"/>
          <w:sz w:val="32"/>
          <w:szCs w:val="32"/>
          <w:lang w:val="zh-CN"/>
        </w:rPr>
        <w:t>16011@njnu.edu.cn</w:t>
      </w:r>
      <w:r>
        <w:rPr>
          <w:rStyle w:val="8"/>
          <w:rFonts w:ascii="仿宋" w:hAnsi="仿宋" w:eastAsia="仿宋" w:cs="仿宋"/>
          <w:kern w:val="0"/>
          <w:sz w:val="32"/>
          <w:szCs w:val="32"/>
          <w:lang w:val="zh-CN"/>
        </w:rPr>
        <w:fldChar w:fldCharType="end"/>
      </w:r>
      <w:r>
        <w:rPr>
          <w:rFonts w:hint="eastAsia" w:ascii="仿宋" w:hAnsi="仿宋" w:eastAsia="仿宋" w:cs="仿宋"/>
          <w:kern w:val="0"/>
          <w:sz w:val="32"/>
          <w:szCs w:val="32"/>
          <w:lang w:val="zh-CN"/>
        </w:rPr>
        <w:t>。地址：南京仙林大学城文苑路</w:t>
      </w:r>
      <w:r>
        <w:rPr>
          <w:rFonts w:ascii="仿宋" w:hAnsi="仿宋" w:eastAsia="仿宋" w:cs="仿宋"/>
          <w:kern w:val="0"/>
          <w:sz w:val="32"/>
          <w:szCs w:val="32"/>
          <w:lang w:val="zh-CN"/>
        </w:rPr>
        <w:t>1</w:t>
      </w:r>
      <w:r>
        <w:rPr>
          <w:rFonts w:hint="eastAsia" w:ascii="仿宋" w:hAnsi="仿宋" w:eastAsia="仿宋" w:cs="仿宋"/>
          <w:kern w:val="0"/>
          <w:sz w:val="32"/>
          <w:szCs w:val="32"/>
          <w:lang w:val="zh-CN"/>
        </w:rPr>
        <w:t>号南京师范大学党校。邮编：</w:t>
      </w:r>
      <w:r>
        <w:rPr>
          <w:rFonts w:ascii="仿宋" w:hAnsi="仿宋" w:eastAsia="仿宋" w:cs="仿宋"/>
          <w:kern w:val="0"/>
          <w:sz w:val="32"/>
          <w:szCs w:val="32"/>
          <w:lang w:val="zh-CN"/>
        </w:rPr>
        <w:t>210023</w:t>
      </w:r>
      <w:r>
        <w:rPr>
          <w:rFonts w:hint="eastAsia" w:ascii="仿宋" w:hAnsi="仿宋" w:eastAsia="仿宋" w:cs="仿宋"/>
          <w:kern w:val="0"/>
          <w:sz w:val="32"/>
          <w:szCs w:val="32"/>
          <w:lang w:val="zh-CN"/>
        </w:rPr>
        <w:t>。</w:t>
      </w:r>
    </w:p>
    <w:p>
      <w:pPr>
        <w:autoSpaceDE w:val="0"/>
        <w:autoSpaceDN w:val="0"/>
        <w:adjustRightInd w:val="0"/>
        <w:spacing w:line="520" w:lineRule="exact"/>
        <w:ind w:firstLine="640"/>
        <w:rPr>
          <w:rFonts w:ascii="仿宋" w:hAnsi="仿宋" w:eastAsia="仿宋" w:cs="Times New Roman"/>
          <w:kern w:val="0"/>
          <w:sz w:val="32"/>
          <w:szCs w:val="32"/>
          <w:lang w:val="zh-CN"/>
        </w:rPr>
      </w:pPr>
      <w:r>
        <w:rPr>
          <w:rFonts w:hint="eastAsia" w:ascii="仿宋" w:hAnsi="仿宋" w:eastAsia="仿宋" w:cs="仿宋"/>
          <w:kern w:val="0"/>
          <w:sz w:val="32"/>
          <w:szCs w:val="32"/>
          <w:lang w:val="zh-CN"/>
        </w:rPr>
        <w:t>附件：</w:t>
      </w:r>
      <w:r>
        <w:rPr>
          <w:rFonts w:ascii="仿宋" w:hAnsi="仿宋" w:eastAsia="仿宋" w:cs="仿宋"/>
          <w:kern w:val="0"/>
          <w:sz w:val="32"/>
          <w:szCs w:val="32"/>
          <w:lang w:val="zh-CN"/>
        </w:rPr>
        <w:t>2017</w:t>
      </w:r>
      <w:r>
        <w:rPr>
          <w:rFonts w:hint="eastAsia" w:ascii="仿宋" w:hAnsi="仿宋" w:eastAsia="仿宋" w:cs="仿宋"/>
          <w:kern w:val="0"/>
          <w:sz w:val="32"/>
          <w:szCs w:val="32"/>
          <w:lang w:val="zh-CN"/>
        </w:rPr>
        <w:t>年度江苏省教育系统党建研究会课题</w:t>
      </w:r>
    </w:p>
    <w:p>
      <w:pPr>
        <w:autoSpaceDE w:val="0"/>
        <w:autoSpaceDN w:val="0"/>
        <w:adjustRightInd w:val="0"/>
        <w:spacing w:line="520" w:lineRule="exact"/>
        <w:ind w:firstLine="3200" w:firstLineChars="1000"/>
        <w:rPr>
          <w:rFonts w:ascii="仿宋" w:hAnsi="仿宋" w:eastAsia="仿宋" w:cs="仿宋"/>
          <w:kern w:val="0"/>
          <w:sz w:val="32"/>
          <w:szCs w:val="32"/>
          <w:lang w:val="zh-CN"/>
        </w:rPr>
      </w:pPr>
    </w:p>
    <w:p>
      <w:pPr>
        <w:autoSpaceDE w:val="0"/>
        <w:autoSpaceDN w:val="0"/>
        <w:adjustRightInd w:val="0"/>
        <w:spacing w:line="520" w:lineRule="exact"/>
        <w:ind w:firstLine="3200" w:firstLineChars="1000"/>
        <w:rPr>
          <w:rFonts w:ascii="仿宋" w:hAnsi="仿宋" w:eastAsia="仿宋" w:cs="Times New Roman"/>
          <w:kern w:val="0"/>
          <w:sz w:val="32"/>
          <w:szCs w:val="32"/>
          <w:lang w:val="zh-CN"/>
        </w:rPr>
      </w:pPr>
      <w:r>
        <w:rPr>
          <w:rFonts w:hint="eastAsia" w:ascii="仿宋" w:hAnsi="仿宋" w:eastAsia="仿宋" w:cs="仿宋"/>
          <w:kern w:val="0"/>
          <w:sz w:val="32"/>
          <w:szCs w:val="32"/>
          <w:lang w:val="zh-CN"/>
        </w:rPr>
        <w:t>江苏省教育系统党的建设研究会</w:t>
      </w:r>
    </w:p>
    <w:p>
      <w:pPr>
        <w:autoSpaceDE w:val="0"/>
        <w:autoSpaceDN w:val="0"/>
        <w:adjustRightInd w:val="0"/>
        <w:spacing w:line="520" w:lineRule="exact"/>
        <w:ind w:firstLine="4480" w:firstLineChars="1400"/>
        <w:rPr>
          <w:rFonts w:ascii="宋体" w:cs="Times New Roman"/>
          <w:kern w:val="0"/>
          <w:sz w:val="24"/>
          <w:szCs w:val="24"/>
        </w:rPr>
        <w:sectPr>
          <w:footerReference r:id="rId3" w:type="default"/>
          <w:pgSz w:w="11906" w:h="16838"/>
          <w:pgMar w:top="2552" w:right="1588" w:bottom="1701" w:left="1588" w:header="851" w:footer="992" w:gutter="0"/>
          <w:cols w:space="425" w:num="1"/>
          <w:docGrid w:type="lines" w:linePitch="312" w:charSpace="0"/>
        </w:sectPr>
      </w:pPr>
      <w:r>
        <w:rPr>
          <w:rFonts w:ascii="仿宋" w:hAnsi="仿宋" w:eastAsia="仿宋" w:cs="仿宋"/>
          <w:kern w:val="0"/>
          <w:sz w:val="32"/>
          <w:szCs w:val="32"/>
          <w:lang w:val="zh-CN"/>
        </w:rPr>
        <w:t>2017</w:t>
      </w:r>
      <w:r>
        <w:rPr>
          <w:rFonts w:hint="eastAsia" w:ascii="仿宋" w:hAnsi="仿宋" w:eastAsia="仿宋" w:cs="仿宋"/>
          <w:kern w:val="0"/>
          <w:sz w:val="32"/>
          <w:szCs w:val="32"/>
          <w:lang w:val="zh-CN"/>
        </w:rPr>
        <w:t>年</w:t>
      </w:r>
      <w:r>
        <w:rPr>
          <w:rFonts w:ascii="仿宋" w:hAnsi="仿宋" w:eastAsia="仿宋" w:cs="仿宋"/>
          <w:kern w:val="0"/>
          <w:sz w:val="32"/>
          <w:szCs w:val="32"/>
          <w:lang w:val="zh-CN"/>
        </w:rPr>
        <w:t>7</w:t>
      </w:r>
      <w:r>
        <w:rPr>
          <w:rFonts w:hint="eastAsia" w:ascii="仿宋" w:hAnsi="仿宋" w:eastAsia="仿宋" w:cs="仿宋"/>
          <w:kern w:val="0"/>
          <w:sz w:val="32"/>
          <w:szCs w:val="32"/>
          <w:lang w:val="zh-CN"/>
        </w:rPr>
        <w:t>月14日</w:t>
      </w:r>
    </w:p>
    <w:p>
      <w:pPr>
        <w:spacing w:line="440" w:lineRule="exact"/>
        <w:rPr>
          <w:rFonts w:ascii="黑体" w:eastAsia="黑体" w:cs="Times New Roman"/>
          <w:w w:val="95"/>
          <w:sz w:val="32"/>
          <w:szCs w:val="32"/>
        </w:rPr>
      </w:pPr>
      <w:r>
        <w:rPr>
          <w:rFonts w:hint="eastAsia" w:ascii="黑体" w:eastAsia="黑体" w:cs="黑体"/>
          <w:w w:val="95"/>
          <w:sz w:val="32"/>
          <w:szCs w:val="32"/>
        </w:rPr>
        <w:t>附件：</w:t>
      </w:r>
    </w:p>
    <w:p>
      <w:pPr>
        <w:spacing w:line="440" w:lineRule="exact"/>
        <w:jc w:val="center"/>
        <w:rPr>
          <w:rFonts w:ascii="黑体" w:eastAsia="黑体" w:cs="Times New Roman"/>
          <w:sz w:val="32"/>
          <w:szCs w:val="32"/>
        </w:rPr>
      </w:pPr>
      <w:r>
        <w:rPr>
          <w:rFonts w:ascii="黑体" w:eastAsia="黑体" w:cs="黑体"/>
          <w:w w:val="95"/>
          <w:sz w:val="32"/>
          <w:szCs w:val="32"/>
        </w:rPr>
        <w:t>2017</w:t>
      </w:r>
      <w:r>
        <w:rPr>
          <w:rFonts w:hint="eastAsia" w:ascii="黑体" w:eastAsia="黑体" w:cs="黑体"/>
          <w:w w:val="95"/>
          <w:sz w:val="32"/>
          <w:szCs w:val="32"/>
        </w:rPr>
        <w:t>年度江苏省教育系统党建研究会课题</w:t>
      </w:r>
    </w:p>
    <w:p>
      <w:pPr>
        <w:numPr>
          <w:ilvl w:val="0"/>
          <w:numId w:val="1"/>
        </w:numPr>
        <w:spacing w:line="440" w:lineRule="exact"/>
        <w:rPr>
          <w:rFonts w:ascii="黑体" w:eastAsia="黑体" w:cs="Times New Roman"/>
          <w:sz w:val="28"/>
          <w:szCs w:val="28"/>
        </w:rPr>
      </w:pPr>
      <w:r>
        <w:rPr>
          <w:rFonts w:hint="eastAsia" w:ascii="黑体" w:eastAsia="黑体" w:cs="黑体"/>
          <w:sz w:val="28"/>
          <w:szCs w:val="28"/>
        </w:rPr>
        <w:t>重点课题（</w:t>
      </w:r>
      <w:r>
        <w:rPr>
          <w:rFonts w:ascii="黑体" w:eastAsia="黑体" w:cs="黑体"/>
          <w:sz w:val="28"/>
          <w:szCs w:val="28"/>
        </w:rPr>
        <w:t>20</w:t>
      </w:r>
      <w:r>
        <w:rPr>
          <w:rFonts w:hint="eastAsia" w:ascii="黑体" w:eastAsia="黑体" w:cs="黑体"/>
          <w:sz w:val="28"/>
          <w:szCs w:val="28"/>
        </w:rPr>
        <w:t>项）</w:t>
      </w:r>
    </w:p>
    <w:p>
      <w:pPr>
        <w:spacing w:line="440" w:lineRule="exact"/>
        <w:ind w:left="720"/>
        <w:rPr>
          <w:rFonts w:ascii="黑体" w:eastAsia="黑体" w:cs="Times New Roman"/>
          <w:sz w:val="28"/>
          <w:szCs w:val="28"/>
        </w:rPr>
      </w:pPr>
    </w:p>
    <w:tbl>
      <w:tblPr>
        <w:tblStyle w:val="9"/>
        <w:tblW w:w="14194" w:type="dxa"/>
        <w:tblInd w:w="-106" w:type="dxa"/>
        <w:tblLayout w:type="fixed"/>
        <w:tblCellMar>
          <w:top w:w="0" w:type="dxa"/>
          <w:left w:w="108" w:type="dxa"/>
          <w:bottom w:w="0" w:type="dxa"/>
          <w:right w:w="108" w:type="dxa"/>
        </w:tblCellMar>
      </w:tblPr>
      <w:tblGrid>
        <w:gridCol w:w="735"/>
        <w:gridCol w:w="2105"/>
        <w:gridCol w:w="6761"/>
        <w:gridCol w:w="2190"/>
        <w:gridCol w:w="1095"/>
        <w:gridCol w:w="1308"/>
      </w:tblGrid>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序号</w:t>
            </w:r>
          </w:p>
        </w:tc>
        <w:tc>
          <w:tcPr>
            <w:tcW w:w="210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项目代码</w:t>
            </w:r>
          </w:p>
        </w:tc>
        <w:tc>
          <w:tcPr>
            <w:tcW w:w="676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课题名称</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申报单位</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负责人</w:t>
            </w:r>
          </w:p>
        </w:tc>
        <w:tc>
          <w:tcPr>
            <w:tcW w:w="130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项目经费</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2017JYDJ-ZD001</w:t>
            </w:r>
          </w:p>
        </w:tc>
        <w:tc>
          <w:tcPr>
            <w:tcW w:w="6761" w:type="dxa"/>
            <w:tcBorders>
              <w:top w:val="single" w:color="auto" w:sz="4" w:space="0"/>
              <w:left w:val="nil"/>
              <w:bottom w:val="single" w:color="auto" w:sz="4" w:space="0"/>
              <w:right w:val="single" w:color="auto" w:sz="4" w:space="0"/>
            </w:tcBorders>
            <w:vAlign w:val="center"/>
          </w:tcPr>
          <w:p>
            <w:pPr>
              <w:widowControl/>
              <w:jc w:val="left"/>
              <w:textAlignment w:val="bottom"/>
              <w:rPr>
                <w:rFonts w:ascii="宋体" w:cs="Times New Roman"/>
                <w:b/>
                <w:bCs/>
                <w:kern w:val="0"/>
                <w:sz w:val="24"/>
                <w:szCs w:val="24"/>
              </w:rPr>
            </w:pPr>
            <w:r>
              <w:rPr>
                <w:rFonts w:hint="eastAsia" w:ascii="宋体" w:hAnsi="宋体" w:cs="宋体"/>
                <w:color w:val="000000"/>
                <w:kern w:val="0"/>
                <w:sz w:val="24"/>
                <w:szCs w:val="24"/>
              </w:rPr>
              <w:t>高校党组织切实负起全面从严治党主体责任的研究</w:t>
            </w:r>
            <w:r>
              <w:rPr>
                <w:rFonts w:ascii="黑体" w:hAnsi="黑体" w:eastAsia="黑体" w:cs="宋体"/>
                <w:kern w:val="0"/>
                <w:sz w:val="24"/>
                <w:szCs w:val="24"/>
              </w:rPr>
              <w:t>——</w:t>
            </w:r>
            <w:r>
              <w:rPr>
                <w:rFonts w:hint="eastAsia" w:ascii="宋体" w:hAnsi="宋体" w:cs="宋体"/>
                <w:color w:val="000000"/>
                <w:kern w:val="0"/>
                <w:sz w:val="24"/>
                <w:szCs w:val="24"/>
              </w:rPr>
              <w:t>将党的政治、思想和组织优势转化为发展优势的路径研究</w:t>
            </w:r>
          </w:p>
        </w:tc>
        <w:tc>
          <w:tcPr>
            <w:tcW w:w="2190"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kern w:val="0"/>
                <w:sz w:val="24"/>
                <w:szCs w:val="24"/>
              </w:rPr>
              <w:t>南京大学</w:t>
            </w:r>
          </w:p>
        </w:tc>
        <w:tc>
          <w:tcPr>
            <w:tcW w:w="1095"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郭随平</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2</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2017JYDJ-ZD002</w:t>
            </w:r>
          </w:p>
        </w:tc>
        <w:tc>
          <w:tcPr>
            <w:tcW w:w="6761" w:type="dxa"/>
            <w:tcBorders>
              <w:top w:val="single" w:color="auto" w:sz="4" w:space="0"/>
              <w:left w:val="nil"/>
              <w:bottom w:val="single" w:color="auto" w:sz="4" w:space="0"/>
              <w:right w:val="single" w:color="auto" w:sz="4" w:space="0"/>
            </w:tcBorders>
            <w:vAlign w:val="center"/>
          </w:tcPr>
          <w:p>
            <w:pPr>
              <w:widowControl/>
              <w:jc w:val="left"/>
              <w:textAlignment w:val="bottom"/>
              <w:rPr>
                <w:rFonts w:ascii="宋体" w:cs="Times New Roman"/>
                <w:b/>
                <w:bCs/>
                <w:kern w:val="0"/>
                <w:sz w:val="24"/>
                <w:szCs w:val="24"/>
              </w:rPr>
            </w:pPr>
            <w:r>
              <w:rPr>
                <w:rFonts w:hint="eastAsia" w:ascii="宋体" w:hAnsi="宋体" w:cs="宋体"/>
                <w:kern w:val="0"/>
                <w:sz w:val="24"/>
                <w:szCs w:val="24"/>
              </w:rPr>
              <w:t>“双融合型”高校学生党建工作模式的研究与探索</w:t>
            </w:r>
          </w:p>
        </w:tc>
        <w:tc>
          <w:tcPr>
            <w:tcW w:w="2190"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东南大学</w:t>
            </w:r>
          </w:p>
        </w:tc>
        <w:tc>
          <w:tcPr>
            <w:tcW w:w="1095"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陈怡</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2017JYDJ-ZD00</w:t>
            </w:r>
            <w:r>
              <w:rPr>
                <w:rFonts w:hint="eastAsia" w:ascii="宋体" w:hAnsi="宋体" w:cs="宋体"/>
                <w:color w:val="000000"/>
                <w:kern w:val="0"/>
                <w:sz w:val="24"/>
                <w:szCs w:val="24"/>
              </w:rPr>
              <w:t>3</w:t>
            </w:r>
          </w:p>
        </w:tc>
        <w:tc>
          <w:tcPr>
            <w:tcW w:w="6761" w:type="dxa"/>
            <w:tcBorders>
              <w:top w:val="single" w:color="auto" w:sz="4" w:space="0"/>
              <w:left w:val="nil"/>
              <w:bottom w:val="single" w:color="auto" w:sz="4" w:space="0"/>
              <w:right w:val="single" w:color="auto" w:sz="4" w:space="0"/>
            </w:tcBorders>
            <w:vAlign w:val="center"/>
          </w:tcPr>
          <w:p>
            <w:pPr>
              <w:widowControl/>
              <w:jc w:val="left"/>
              <w:textAlignment w:val="bottom"/>
              <w:rPr>
                <w:rFonts w:ascii="宋体" w:cs="Times New Roman"/>
                <w:b/>
                <w:bCs/>
                <w:kern w:val="0"/>
                <w:sz w:val="24"/>
                <w:szCs w:val="24"/>
              </w:rPr>
            </w:pPr>
            <w:r>
              <w:rPr>
                <w:rFonts w:hint="eastAsia" w:ascii="宋体" w:hAnsi="宋体" w:cs="宋体"/>
                <w:kern w:val="0"/>
                <w:sz w:val="24"/>
                <w:szCs w:val="24"/>
              </w:rPr>
              <w:t>依托新媒体创新大学生思想政治教育研究</w:t>
            </w:r>
          </w:p>
        </w:tc>
        <w:tc>
          <w:tcPr>
            <w:tcW w:w="2190"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南京航空航天大学</w:t>
            </w:r>
          </w:p>
        </w:tc>
        <w:tc>
          <w:tcPr>
            <w:tcW w:w="1095"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涂志宏</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2017JYDJ-ZD00</w:t>
            </w:r>
            <w:r>
              <w:rPr>
                <w:rFonts w:hint="eastAsia" w:ascii="宋体" w:hAnsi="宋体" w:cs="宋体"/>
                <w:color w:val="000000"/>
                <w:kern w:val="0"/>
                <w:sz w:val="24"/>
                <w:szCs w:val="24"/>
              </w:rPr>
              <w:t>4</w:t>
            </w:r>
          </w:p>
        </w:tc>
        <w:tc>
          <w:tcPr>
            <w:tcW w:w="6761" w:type="dxa"/>
            <w:tcBorders>
              <w:top w:val="single" w:color="auto" w:sz="4" w:space="0"/>
              <w:left w:val="nil"/>
              <w:bottom w:val="single" w:color="auto" w:sz="4" w:space="0"/>
              <w:right w:val="single" w:color="auto" w:sz="4" w:space="0"/>
            </w:tcBorders>
            <w:vAlign w:val="center"/>
          </w:tcPr>
          <w:p>
            <w:pPr>
              <w:widowControl/>
              <w:jc w:val="left"/>
              <w:textAlignment w:val="bottom"/>
              <w:rPr>
                <w:rFonts w:ascii="宋体" w:cs="Times New Roman"/>
                <w:b/>
                <w:bCs/>
                <w:kern w:val="0"/>
                <w:sz w:val="24"/>
                <w:szCs w:val="24"/>
              </w:rPr>
            </w:pPr>
            <w:r>
              <w:rPr>
                <w:rFonts w:hint="eastAsia" w:ascii="宋体" w:hAnsi="宋体" w:cs="宋体"/>
                <w:kern w:val="0"/>
                <w:sz w:val="24"/>
                <w:szCs w:val="24"/>
              </w:rPr>
              <w:t>立德树人视角下高校党建与人才培养融合路径研究</w:t>
            </w:r>
          </w:p>
        </w:tc>
        <w:tc>
          <w:tcPr>
            <w:tcW w:w="2190"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南京理工大学</w:t>
            </w:r>
          </w:p>
        </w:tc>
        <w:tc>
          <w:tcPr>
            <w:tcW w:w="1095"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董春秋</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2017JYDJ-ZD00</w:t>
            </w:r>
            <w:r>
              <w:rPr>
                <w:rFonts w:hint="eastAsia" w:ascii="宋体" w:hAnsi="宋体" w:cs="宋体"/>
                <w:color w:val="000000"/>
                <w:kern w:val="0"/>
                <w:sz w:val="24"/>
                <w:szCs w:val="24"/>
              </w:rPr>
              <w:t>5</w:t>
            </w:r>
          </w:p>
        </w:tc>
        <w:tc>
          <w:tcPr>
            <w:tcW w:w="6761" w:type="dxa"/>
            <w:tcBorders>
              <w:top w:val="single" w:color="auto" w:sz="4" w:space="0"/>
              <w:left w:val="nil"/>
              <w:bottom w:val="single" w:color="auto" w:sz="4" w:space="0"/>
              <w:right w:val="single" w:color="auto" w:sz="4" w:space="0"/>
            </w:tcBorders>
            <w:vAlign w:val="center"/>
          </w:tcPr>
          <w:p>
            <w:pPr>
              <w:widowControl/>
              <w:jc w:val="left"/>
              <w:textAlignment w:val="bottom"/>
              <w:rPr>
                <w:rFonts w:ascii="宋体" w:cs="Times New Roman"/>
                <w:b/>
                <w:bCs/>
                <w:kern w:val="0"/>
                <w:sz w:val="24"/>
                <w:szCs w:val="24"/>
              </w:rPr>
            </w:pPr>
            <w:r>
              <w:rPr>
                <w:rFonts w:hint="eastAsia" w:ascii="宋体" w:hAnsi="宋体" w:cs="宋体"/>
                <w:kern w:val="0"/>
                <w:sz w:val="24"/>
                <w:szCs w:val="24"/>
              </w:rPr>
              <w:t>习近平关于高校思想政治工作重要讲话精神研究</w:t>
            </w:r>
          </w:p>
        </w:tc>
        <w:tc>
          <w:tcPr>
            <w:tcW w:w="2190"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color w:val="000000"/>
                <w:kern w:val="0"/>
                <w:sz w:val="24"/>
                <w:szCs w:val="24"/>
              </w:rPr>
            </w:pPr>
            <w:r>
              <w:rPr>
                <w:rFonts w:hint="eastAsia" w:ascii="宋体" w:hAnsi="宋体" w:cs="宋体"/>
                <w:color w:val="000000"/>
                <w:kern w:val="0"/>
                <w:sz w:val="24"/>
                <w:szCs w:val="24"/>
              </w:rPr>
              <w:t>河海大学</w:t>
            </w:r>
          </w:p>
        </w:tc>
        <w:tc>
          <w:tcPr>
            <w:tcW w:w="1095"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color w:val="000000"/>
                <w:kern w:val="0"/>
                <w:sz w:val="24"/>
                <w:szCs w:val="24"/>
              </w:rPr>
            </w:pPr>
            <w:r>
              <w:rPr>
                <w:rFonts w:hint="eastAsia" w:ascii="宋体" w:hAnsi="宋体" w:cs="宋体"/>
                <w:color w:val="000000"/>
                <w:kern w:val="0"/>
                <w:sz w:val="24"/>
                <w:szCs w:val="24"/>
              </w:rPr>
              <w:t>魏有兴</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6</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w:t>
            </w:r>
            <w:r>
              <w:rPr>
                <w:rFonts w:hint="eastAsia" w:ascii="宋体" w:hAnsi="宋体" w:cs="宋体"/>
                <w:color w:val="000000"/>
                <w:kern w:val="0"/>
                <w:sz w:val="24"/>
                <w:szCs w:val="24"/>
              </w:rPr>
              <w:t>06</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习近平全面从严治党思想</w:t>
            </w:r>
            <w:r>
              <w:rPr>
                <w:rFonts w:ascii="黑体" w:hAnsi="黑体" w:eastAsia="黑体" w:cs="宋体"/>
                <w:kern w:val="0"/>
                <w:sz w:val="24"/>
                <w:szCs w:val="24"/>
              </w:rPr>
              <w:t>——</w:t>
            </w:r>
            <w:r>
              <w:rPr>
                <w:rFonts w:hint="eastAsia" w:ascii="宋体" w:hAnsi="宋体" w:cs="宋体"/>
                <w:kern w:val="0"/>
                <w:sz w:val="24"/>
                <w:szCs w:val="24"/>
              </w:rPr>
              <w:t>坚持思想建党和制度治党紧密结合研究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南京师范大学</w:t>
            </w:r>
          </w:p>
        </w:tc>
        <w:tc>
          <w:tcPr>
            <w:tcW w:w="1095"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hint="eastAsia" w:ascii="宋体" w:hAnsi="宋体" w:cs="宋体"/>
                <w:color w:val="000000"/>
                <w:kern w:val="0"/>
                <w:sz w:val="24"/>
                <w:szCs w:val="24"/>
              </w:rPr>
              <w:t>余琼</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2017JYDJ-ZD007</w:t>
            </w:r>
          </w:p>
        </w:tc>
        <w:tc>
          <w:tcPr>
            <w:tcW w:w="6761" w:type="dxa"/>
            <w:tcBorders>
              <w:top w:val="single" w:color="auto" w:sz="4" w:space="0"/>
              <w:left w:val="nil"/>
              <w:bottom w:val="single" w:color="auto" w:sz="4" w:space="0"/>
              <w:right w:val="single" w:color="auto" w:sz="4" w:space="0"/>
            </w:tcBorders>
            <w:vAlign w:val="center"/>
          </w:tcPr>
          <w:p>
            <w:pPr>
              <w:widowControl/>
              <w:jc w:val="left"/>
              <w:textAlignment w:val="bottom"/>
              <w:rPr>
                <w:rFonts w:ascii="宋体" w:cs="Times New Roman"/>
                <w:b/>
                <w:bCs/>
                <w:kern w:val="0"/>
                <w:sz w:val="24"/>
                <w:szCs w:val="24"/>
              </w:rPr>
            </w:pPr>
            <w:r>
              <w:rPr>
                <w:rFonts w:hint="eastAsia" w:ascii="宋体" w:hAnsi="宋体" w:cs="宋体"/>
                <w:kern w:val="0"/>
                <w:sz w:val="24"/>
                <w:szCs w:val="24"/>
              </w:rPr>
              <w:t>高校全员、全过程、全方位育人的机制与平台建设研究</w:t>
            </w:r>
          </w:p>
        </w:tc>
        <w:tc>
          <w:tcPr>
            <w:tcW w:w="2190"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南京邮电大学</w:t>
            </w:r>
          </w:p>
        </w:tc>
        <w:tc>
          <w:tcPr>
            <w:tcW w:w="1095"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刘蒙</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2017JYDJ-ZD008</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kern w:val="0"/>
                <w:sz w:val="24"/>
                <w:szCs w:val="24"/>
              </w:rPr>
              <w:t>高校思想政治工作科学化评价体系实效性建设</w:t>
            </w:r>
            <w:r>
              <w:rPr>
                <w:rFonts w:ascii="黑体" w:hAnsi="黑体" w:eastAsia="黑体" w:cs="宋体"/>
                <w:kern w:val="0"/>
                <w:sz w:val="24"/>
                <w:szCs w:val="24"/>
              </w:rPr>
              <w:t>——</w:t>
            </w:r>
            <w:r>
              <w:rPr>
                <w:rFonts w:hint="eastAsia" w:ascii="宋体" w:hAnsi="宋体" w:cs="宋体"/>
                <w:kern w:val="0"/>
                <w:sz w:val="24"/>
                <w:szCs w:val="24"/>
              </w:rPr>
              <w:t>基于大学生网络社群研究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color w:val="000000"/>
                <w:kern w:val="0"/>
                <w:sz w:val="24"/>
                <w:szCs w:val="24"/>
              </w:rPr>
              <w:t>南京林业大学</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何星</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9</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2017JYDJ-ZD009</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kern w:val="0"/>
                <w:sz w:val="24"/>
                <w:szCs w:val="24"/>
              </w:rPr>
              <w:t>十八大以来高校党建实践与经验研究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color w:val="000000"/>
                <w:kern w:val="0"/>
                <w:sz w:val="24"/>
                <w:szCs w:val="24"/>
              </w:rPr>
              <w:t>南京工业大学</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史坤坤</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2017JYDJ-ZD01</w:t>
            </w:r>
            <w:r>
              <w:rPr>
                <w:rFonts w:hint="eastAsia" w:ascii="宋体" w:hAnsi="宋体" w:cs="宋体"/>
                <w:color w:val="000000"/>
                <w:kern w:val="0"/>
                <w:sz w:val="24"/>
                <w:szCs w:val="24"/>
              </w:rPr>
              <w:t>0</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kern w:val="0"/>
                <w:sz w:val="24"/>
                <w:szCs w:val="24"/>
              </w:rPr>
              <w:t>新时期高校思想政治工作规律研究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color w:val="000000"/>
                <w:kern w:val="0"/>
                <w:sz w:val="24"/>
                <w:szCs w:val="24"/>
              </w:rPr>
              <w:t>南京审计大学</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李祥</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2017JYDJ-ZD01</w:t>
            </w:r>
            <w:r>
              <w:rPr>
                <w:rFonts w:hint="eastAsia" w:ascii="宋体" w:hAnsi="宋体" w:cs="宋体"/>
                <w:color w:val="000000"/>
                <w:kern w:val="0"/>
                <w:sz w:val="24"/>
                <w:szCs w:val="24"/>
              </w:rPr>
              <w:t>1</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kern w:val="0"/>
                <w:sz w:val="24"/>
                <w:szCs w:val="24"/>
              </w:rPr>
              <w:t>党员工作站</w:t>
            </w:r>
            <w:r>
              <w:rPr>
                <w:rFonts w:ascii="黑体" w:hAnsi="黑体" w:eastAsia="黑体" w:cs="宋体"/>
                <w:kern w:val="0"/>
                <w:sz w:val="24"/>
                <w:szCs w:val="24"/>
              </w:rPr>
              <w:t>——</w:t>
            </w:r>
            <w:r>
              <w:rPr>
                <w:rFonts w:hint="eastAsia" w:ascii="宋体" w:hAnsi="宋体" w:cs="宋体"/>
                <w:kern w:val="0"/>
                <w:sz w:val="24"/>
                <w:szCs w:val="24"/>
              </w:rPr>
              <w:t>高校学生事务“一站式”服务管理模式的探索与实践</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color w:val="000000"/>
                <w:kern w:val="0"/>
                <w:sz w:val="24"/>
                <w:szCs w:val="24"/>
              </w:rPr>
              <w:t>南京晓庄学院</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何文秋</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12</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b/>
                <w:bCs/>
                <w:kern w:val="0"/>
                <w:sz w:val="24"/>
                <w:szCs w:val="24"/>
              </w:rPr>
            </w:pPr>
            <w:r>
              <w:rPr>
                <w:rFonts w:ascii="宋体" w:hAnsi="宋体" w:cs="宋体"/>
                <w:color w:val="000000"/>
                <w:kern w:val="0"/>
                <w:sz w:val="24"/>
                <w:szCs w:val="24"/>
              </w:rPr>
              <w:t>2017JYDJ-ZD01</w:t>
            </w:r>
            <w:r>
              <w:rPr>
                <w:rFonts w:hint="eastAsia" w:ascii="宋体" w:hAnsi="宋体" w:cs="宋体"/>
                <w:color w:val="000000"/>
                <w:kern w:val="0"/>
                <w:sz w:val="24"/>
                <w:szCs w:val="24"/>
              </w:rPr>
              <w:t>2</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高校推进“三型两化”党支部建设研究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南京工业职业技术学院</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孙爱武</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13</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2017JYDJ-ZD01</w:t>
            </w:r>
            <w:r>
              <w:rPr>
                <w:rFonts w:hint="eastAsia" w:ascii="宋体" w:hAnsi="宋体" w:cs="宋体"/>
                <w:color w:val="000000"/>
                <w:kern w:val="0"/>
                <w:sz w:val="24"/>
                <w:szCs w:val="24"/>
              </w:rPr>
              <w:t>3</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高校思想政治理论课大学生主体性“伪在场”与唤醒研究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南京特殊教育师范学院</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林立华</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14</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w:t>
            </w:r>
            <w:r>
              <w:rPr>
                <w:rFonts w:hint="eastAsia" w:ascii="宋体" w:hAnsi="宋体" w:cs="宋体"/>
                <w:color w:val="000000"/>
                <w:kern w:val="0"/>
                <w:sz w:val="24"/>
                <w:szCs w:val="24"/>
              </w:rPr>
              <w:t>14</w:t>
            </w:r>
          </w:p>
        </w:tc>
        <w:tc>
          <w:tcPr>
            <w:tcW w:w="6761" w:type="dxa"/>
            <w:tcBorders>
              <w:top w:val="single" w:color="auto" w:sz="4" w:space="0"/>
              <w:left w:val="nil"/>
              <w:bottom w:val="single" w:color="auto" w:sz="4" w:space="0"/>
              <w:right w:val="single" w:color="auto" w:sz="4" w:space="0"/>
            </w:tcBorders>
            <w:vAlign w:val="center"/>
          </w:tcPr>
          <w:p>
            <w:pPr>
              <w:jc w:val="left"/>
              <w:rPr>
                <w:rFonts w:ascii="宋体" w:cs="Times New Roman"/>
                <w:kern w:val="0"/>
                <w:sz w:val="24"/>
                <w:szCs w:val="24"/>
              </w:rPr>
            </w:pPr>
            <w:r>
              <w:rPr>
                <w:rFonts w:hint="eastAsia" w:ascii="宋体" w:hAnsi="宋体" w:cs="宋体"/>
                <w:kern w:val="0"/>
                <w:sz w:val="24"/>
                <w:szCs w:val="24"/>
              </w:rPr>
              <w:t>新时期高校思想政治教育规律研究</w:t>
            </w:r>
          </w:p>
        </w:tc>
        <w:tc>
          <w:tcPr>
            <w:tcW w:w="2190" w:type="dxa"/>
            <w:tcBorders>
              <w:top w:val="single" w:color="auto" w:sz="4" w:space="0"/>
              <w:left w:val="nil"/>
              <w:bottom w:val="single" w:color="auto" w:sz="4" w:space="0"/>
              <w:right w:val="single" w:color="auto" w:sz="4" w:space="0"/>
            </w:tcBorders>
            <w:vAlign w:val="center"/>
          </w:tcPr>
          <w:p>
            <w:pPr>
              <w:jc w:val="center"/>
              <w:rPr>
                <w:rFonts w:ascii="宋体" w:cs="Times New Roman"/>
                <w:kern w:val="0"/>
                <w:sz w:val="24"/>
                <w:szCs w:val="24"/>
              </w:rPr>
            </w:pPr>
            <w:r>
              <w:rPr>
                <w:rFonts w:hint="eastAsia" w:ascii="宋体" w:hAnsi="宋体" w:cs="宋体"/>
                <w:kern w:val="0"/>
                <w:sz w:val="24"/>
                <w:szCs w:val="24"/>
              </w:rPr>
              <w:t>中国矿业大学</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cs="Times New Roman"/>
                <w:kern w:val="0"/>
                <w:sz w:val="24"/>
                <w:szCs w:val="24"/>
              </w:rPr>
            </w:pPr>
            <w:r>
              <w:rPr>
                <w:rFonts w:hint="eastAsia" w:ascii="宋体" w:hAnsi="宋体" w:cs="宋体"/>
                <w:kern w:val="0"/>
                <w:sz w:val="24"/>
                <w:szCs w:val="24"/>
              </w:rPr>
              <w:t>段鑫星</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15</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2017JYDJ-ZD01</w:t>
            </w:r>
            <w:r>
              <w:rPr>
                <w:rFonts w:hint="eastAsia" w:ascii="宋体" w:hAnsi="宋体" w:cs="宋体"/>
                <w:color w:val="000000"/>
                <w:kern w:val="0"/>
                <w:sz w:val="24"/>
                <w:szCs w:val="24"/>
              </w:rPr>
              <w:t>5</w:t>
            </w:r>
          </w:p>
        </w:tc>
        <w:tc>
          <w:tcPr>
            <w:tcW w:w="6761" w:type="dxa"/>
            <w:tcBorders>
              <w:top w:val="single" w:color="auto" w:sz="4" w:space="0"/>
              <w:left w:val="nil"/>
              <w:bottom w:val="single" w:color="auto" w:sz="4" w:space="0"/>
              <w:right w:val="single" w:color="auto" w:sz="4" w:space="0"/>
            </w:tcBorders>
            <w:vAlign w:val="center"/>
          </w:tcPr>
          <w:p>
            <w:pPr>
              <w:jc w:val="left"/>
              <w:rPr>
                <w:rFonts w:ascii="宋体" w:cs="Times New Roman"/>
                <w:kern w:val="0"/>
                <w:sz w:val="24"/>
                <w:szCs w:val="24"/>
              </w:rPr>
            </w:pPr>
            <w:r>
              <w:rPr>
                <w:rFonts w:hint="eastAsia" w:ascii="宋体" w:hAnsi="宋体" w:cs="宋体"/>
                <w:kern w:val="0"/>
                <w:sz w:val="24"/>
                <w:szCs w:val="24"/>
              </w:rPr>
              <w:t>新形势下高校党性教育有效性研究</w:t>
            </w:r>
            <w:r>
              <w:rPr>
                <w:rFonts w:ascii="黑体" w:hAnsi="黑体" w:eastAsia="黑体" w:cs="宋体"/>
                <w:kern w:val="0"/>
                <w:sz w:val="24"/>
                <w:szCs w:val="24"/>
              </w:rPr>
              <w:t>——</w:t>
            </w:r>
            <w:r>
              <w:rPr>
                <w:rFonts w:hint="eastAsia" w:ascii="宋体" w:hAnsi="宋体" w:cs="宋体"/>
                <w:kern w:val="0"/>
                <w:sz w:val="24"/>
                <w:szCs w:val="24"/>
              </w:rPr>
              <w:t>基于高校与社区基层党组织互动合作视角</w:t>
            </w:r>
          </w:p>
        </w:tc>
        <w:tc>
          <w:tcPr>
            <w:tcW w:w="2190" w:type="dxa"/>
            <w:tcBorders>
              <w:top w:val="single" w:color="auto" w:sz="4" w:space="0"/>
              <w:left w:val="nil"/>
              <w:bottom w:val="single" w:color="auto" w:sz="4" w:space="0"/>
              <w:right w:val="single" w:color="auto" w:sz="4" w:space="0"/>
            </w:tcBorders>
            <w:vAlign w:val="center"/>
          </w:tcPr>
          <w:p>
            <w:pPr>
              <w:jc w:val="center"/>
              <w:rPr>
                <w:rFonts w:ascii="宋体" w:cs="Times New Roman"/>
                <w:kern w:val="0"/>
                <w:sz w:val="24"/>
                <w:szCs w:val="24"/>
              </w:rPr>
            </w:pPr>
            <w:r>
              <w:rPr>
                <w:rFonts w:hint="eastAsia" w:ascii="宋体" w:hAnsi="宋体" w:cs="宋体"/>
                <w:kern w:val="0"/>
                <w:sz w:val="24"/>
                <w:szCs w:val="24"/>
              </w:rPr>
              <w:t>苏州大学</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cs="Times New Roman"/>
                <w:kern w:val="0"/>
                <w:sz w:val="24"/>
                <w:szCs w:val="24"/>
              </w:rPr>
            </w:pPr>
            <w:r>
              <w:rPr>
                <w:rFonts w:hint="eastAsia" w:ascii="宋体" w:hAnsi="宋体" w:cs="宋体"/>
                <w:kern w:val="0"/>
                <w:sz w:val="24"/>
                <w:szCs w:val="24"/>
              </w:rPr>
              <w:t>郭彩琴</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08"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16</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2017JYDJ-ZD01</w:t>
            </w:r>
            <w:r>
              <w:rPr>
                <w:rFonts w:hint="eastAsia" w:ascii="宋体" w:hAnsi="宋体" w:cs="宋体"/>
                <w:color w:val="000000"/>
                <w:kern w:val="0"/>
                <w:sz w:val="24"/>
                <w:szCs w:val="24"/>
              </w:rPr>
              <w:t>6</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立德树人视角下民办高校党建工作路径研究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南通理工学院</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侯红梅</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17</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2017JYDJ-ZD01</w:t>
            </w:r>
            <w:r>
              <w:rPr>
                <w:rFonts w:hint="eastAsia" w:ascii="宋体" w:hAnsi="宋体" w:cs="宋体"/>
                <w:color w:val="000000"/>
                <w:kern w:val="0"/>
                <w:sz w:val="24"/>
                <w:szCs w:val="24"/>
              </w:rPr>
              <w:t>7</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习近平关于高校思想政治工作重要讲话精神研究</w:t>
            </w:r>
            <w:r>
              <w:rPr>
                <w:rFonts w:ascii="黑体" w:hAnsi="黑体" w:eastAsia="黑体" w:cs="宋体"/>
                <w:kern w:val="0"/>
                <w:sz w:val="24"/>
                <w:szCs w:val="24"/>
              </w:rPr>
              <w:t>——</w:t>
            </w:r>
            <w:r>
              <w:rPr>
                <w:rFonts w:hint="eastAsia" w:ascii="宋体" w:hAnsi="宋体" w:cs="宋体"/>
                <w:color w:val="000000"/>
                <w:kern w:val="0"/>
                <w:sz w:val="24"/>
                <w:szCs w:val="24"/>
              </w:rPr>
              <w:t>文化自信视域下高校思想政治工作创新</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淮阴师范学院</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刘小华</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18</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w:t>
            </w:r>
            <w:r>
              <w:rPr>
                <w:rFonts w:hint="eastAsia" w:ascii="宋体" w:hAnsi="宋体" w:cs="宋体"/>
                <w:color w:val="000000"/>
                <w:kern w:val="0"/>
                <w:sz w:val="24"/>
                <w:szCs w:val="24"/>
              </w:rPr>
              <w:t>18</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“互联网＋”高校基层党建工作实效性研究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盐城师范学院</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薛建华</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19</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2017JYDJ-ZD01</w:t>
            </w:r>
            <w:r>
              <w:rPr>
                <w:rFonts w:hint="eastAsia" w:ascii="宋体" w:hAnsi="宋体" w:cs="宋体"/>
                <w:color w:val="000000"/>
                <w:kern w:val="0"/>
                <w:sz w:val="24"/>
                <w:szCs w:val="24"/>
              </w:rPr>
              <w:t>9</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新形势下大学生党员党性教育实效性研究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盐城工学院</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包雅玮</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r>
        <w:tblPrEx>
          <w:tblLayout w:type="fixed"/>
          <w:tblCellMar>
            <w:top w:w="0" w:type="dxa"/>
            <w:left w:w="108" w:type="dxa"/>
            <w:bottom w:w="0" w:type="dxa"/>
            <w:right w:w="108" w:type="dxa"/>
          </w:tblCellMar>
        </w:tblPrEx>
        <w:trPr>
          <w:trHeight w:val="674"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20</w:t>
            </w:r>
          </w:p>
        </w:tc>
        <w:tc>
          <w:tcPr>
            <w:tcW w:w="2105"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kern w:val="0"/>
                <w:sz w:val="24"/>
                <w:szCs w:val="24"/>
              </w:rPr>
            </w:pPr>
            <w:r>
              <w:rPr>
                <w:rFonts w:ascii="宋体" w:hAnsi="宋体" w:cs="宋体"/>
                <w:color w:val="000000"/>
                <w:kern w:val="0"/>
                <w:sz w:val="24"/>
                <w:szCs w:val="24"/>
              </w:rPr>
              <w:t>2017JYDJ-ZD0</w:t>
            </w:r>
            <w:r>
              <w:rPr>
                <w:rFonts w:hint="eastAsia" w:ascii="宋体" w:hAnsi="宋体" w:cs="宋体"/>
                <w:color w:val="000000"/>
                <w:kern w:val="0"/>
                <w:sz w:val="24"/>
                <w:szCs w:val="24"/>
              </w:rPr>
              <w:t>20</w:t>
            </w:r>
          </w:p>
        </w:tc>
        <w:tc>
          <w:tcPr>
            <w:tcW w:w="6761" w:type="dxa"/>
            <w:tcBorders>
              <w:top w:val="single" w:color="auto" w:sz="4" w:space="0"/>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高校意识形态工作领导权与话语权研究</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扬州大学</w:t>
            </w:r>
          </w:p>
        </w:tc>
        <w:tc>
          <w:tcPr>
            <w:tcW w:w="1095" w:type="dxa"/>
            <w:tcBorders>
              <w:top w:val="single" w:color="auto" w:sz="4" w:space="0"/>
              <w:left w:val="nil"/>
              <w:bottom w:val="single" w:color="auto" w:sz="4" w:space="0"/>
              <w:right w:val="single" w:color="auto" w:sz="4" w:space="0"/>
            </w:tcBorders>
            <w:vAlign w:val="center"/>
          </w:tcPr>
          <w:p>
            <w:pPr>
              <w:jc w:val="center"/>
              <w:rPr>
                <w:rFonts w:ascii="宋体" w:cs="Times New Roman"/>
                <w:kern w:val="0"/>
                <w:sz w:val="24"/>
                <w:szCs w:val="24"/>
              </w:rPr>
            </w:pPr>
            <w:r>
              <w:rPr>
                <w:rFonts w:hint="eastAsia" w:ascii="宋体" w:hAnsi="宋体" w:cs="宋体"/>
                <w:color w:val="000000"/>
                <w:kern w:val="0"/>
                <w:sz w:val="24"/>
                <w:szCs w:val="24"/>
              </w:rPr>
              <w:t>刘佩健</w:t>
            </w:r>
          </w:p>
        </w:tc>
        <w:tc>
          <w:tcPr>
            <w:tcW w:w="13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10000</w:t>
            </w:r>
          </w:p>
        </w:tc>
      </w:tr>
    </w:tbl>
    <w:p>
      <w:pPr>
        <w:spacing w:line="440" w:lineRule="exact"/>
        <w:rPr>
          <w:rFonts w:ascii="黑体" w:eastAsia="黑体" w:cs="黑体"/>
          <w:sz w:val="28"/>
          <w:szCs w:val="28"/>
        </w:rPr>
      </w:pPr>
      <w:r>
        <w:rPr>
          <w:rFonts w:hint="eastAsia" w:ascii="黑体" w:eastAsia="黑体" w:cs="黑体"/>
          <w:sz w:val="28"/>
          <w:szCs w:val="28"/>
        </w:rPr>
        <w:t>二、一般课题（</w:t>
      </w:r>
      <w:r>
        <w:rPr>
          <w:rFonts w:ascii="黑体" w:eastAsia="黑体" w:cs="黑体"/>
          <w:sz w:val="28"/>
          <w:szCs w:val="28"/>
        </w:rPr>
        <w:t>1</w:t>
      </w:r>
      <w:r>
        <w:rPr>
          <w:rFonts w:hint="eastAsia" w:ascii="黑体" w:eastAsia="黑体" w:cs="黑体"/>
          <w:sz w:val="28"/>
          <w:szCs w:val="28"/>
        </w:rPr>
        <w:t>45项）</w:t>
      </w:r>
    </w:p>
    <w:p>
      <w:pPr>
        <w:spacing w:line="440" w:lineRule="exact"/>
        <w:rPr>
          <w:rFonts w:ascii="黑体" w:eastAsia="黑体" w:cs="Times New Roman"/>
          <w:sz w:val="28"/>
          <w:szCs w:val="28"/>
        </w:rPr>
      </w:pPr>
    </w:p>
    <w:tbl>
      <w:tblPr>
        <w:tblStyle w:val="9"/>
        <w:tblW w:w="13918" w:type="dxa"/>
        <w:tblInd w:w="-106" w:type="dxa"/>
        <w:tblLayout w:type="fixed"/>
        <w:tblCellMar>
          <w:top w:w="0" w:type="dxa"/>
          <w:left w:w="108" w:type="dxa"/>
          <w:bottom w:w="0" w:type="dxa"/>
          <w:right w:w="108" w:type="dxa"/>
        </w:tblCellMar>
      </w:tblPr>
      <w:tblGrid>
        <w:gridCol w:w="700"/>
        <w:gridCol w:w="2047"/>
        <w:gridCol w:w="6398"/>
        <w:gridCol w:w="2942"/>
        <w:gridCol w:w="1831"/>
      </w:tblGrid>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序号</w:t>
            </w:r>
          </w:p>
        </w:tc>
        <w:tc>
          <w:tcPr>
            <w:tcW w:w="204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项目代码</w:t>
            </w:r>
          </w:p>
        </w:tc>
        <w:tc>
          <w:tcPr>
            <w:tcW w:w="639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课题名称</w:t>
            </w:r>
          </w:p>
        </w:tc>
        <w:tc>
          <w:tcPr>
            <w:tcW w:w="2942"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申报单位</w:t>
            </w:r>
          </w:p>
        </w:tc>
        <w:tc>
          <w:tcPr>
            <w:tcW w:w="183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负责人</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ascii="宋体" w:hAnsi="宋体" w:cs="宋体"/>
                <w:color w:val="000000"/>
                <w:kern w:val="0"/>
                <w:sz w:val="24"/>
                <w:szCs w:val="24"/>
              </w:rPr>
              <w:t>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b/>
                <w:bCs/>
                <w:kern w:val="0"/>
                <w:sz w:val="24"/>
                <w:szCs w:val="24"/>
              </w:rPr>
            </w:pPr>
            <w:r>
              <w:rPr>
                <w:rFonts w:ascii="宋体" w:hAnsi="宋体" w:cs="宋体"/>
                <w:color w:val="000000"/>
                <w:kern w:val="0"/>
                <w:sz w:val="24"/>
                <w:szCs w:val="24"/>
              </w:rPr>
              <w:t>2017JYDJ-YB0001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立德树人视角下的高校研究生党建工作路径研究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东南大学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奚社新</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2017JYDJ-YB0002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南京大屠杀死难者国家公祭日对大学生爱国主义的影响及对策研究</w:t>
            </w:r>
            <w:r>
              <w:rPr>
                <w:rFonts w:ascii="黑体" w:hAnsi="黑体" w:eastAsia="黑体" w:cs="宋体"/>
                <w:kern w:val="0"/>
                <w:sz w:val="24"/>
                <w:szCs w:val="24"/>
              </w:rPr>
              <w:t>——</w:t>
            </w:r>
            <w:r>
              <w:rPr>
                <w:rFonts w:hint="eastAsia" w:ascii="宋体" w:hAnsi="宋体" w:cs="宋体"/>
                <w:kern w:val="0"/>
                <w:sz w:val="24"/>
                <w:szCs w:val="24"/>
              </w:rPr>
              <w:t>以在宁高校为例</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东南大学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雷华威</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2017JYDJ-YB0003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新形势下党性教育方式方法及实效性研究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东南大学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杨树东</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2017JYDJ-YB0004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基于MB-DAS分析模型的网络时代下高校大学生马克思主义信仰培育路径研究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南京航空航天大学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王霄</w:t>
            </w:r>
          </w:p>
        </w:tc>
      </w:tr>
      <w:tr>
        <w:tblPrEx>
          <w:tblLayout w:type="fixed"/>
          <w:tblCellMar>
            <w:top w:w="0" w:type="dxa"/>
            <w:left w:w="108" w:type="dxa"/>
            <w:bottom w:w="0" w:type="dxa"/>
            <w:right w:w="108" w:type="dxa"/>
          </w:tblCellMar>
        </w:tblPrEx>
        <w:trPr>
          <w:trHeight w:val="632"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2017JYDJ-YB0005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新形势下党性教育方式方法及实效性研究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南京航空航天大学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尹春苹</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2017JYDJ-YB0006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依托“两微一端”创新大学生思想教育研究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南京理工大学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欧腊梅</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2017JYDJ-YB0007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新形势下高校党委加强党外知识分子工作研究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南京理工大学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李涛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2017JYDJ-YB0008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立德树人视角下高校党建工作路径研究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河海大学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魏萍</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2017JYDJ-YB0009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新形势下高校严肃党内政治生活问题研究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河海大学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刘学坤</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高校落实全面从严治党主体责任</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河海大学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王同昌</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乐教在高校立德树人党建工作中的探索与实践</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河海大学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胡瑞媛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新形势下党性教育方式方法及实效性研究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中国药科大学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卢献锁</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深化“三转”背景下高校纪检监察部门提升监督能力的路径研究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中国药科大学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朱林</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高校实践育人机制研究</w:t>
            </w:r>
            <w:r>
              <w:rPr>
                <w:rFonts w:ascii="黑体" w:hAnsi="黑体" w:eastAsia="黑体" w:cs="宋体"/>
                <w:kern w:val="0"/>
                <w:sz w:val="24"/>
                <w:szCs w:val="24"/>
              </w:rPr>
              <w:t>——</w:t>
            </w:r>
            <w:r>
              <w:rPr>
                <w:rFonts w:hint="eastAsia" w:ascii="宋体" w:hAnsi="宋体" w:cs="宋体"/>
                <w:kern w:val="0"/>
                <w:sz w:val="24"/>
                <w:szCs w:val="24"/>
              </w:rPr>
              <w:t>基于行业高校依托特色平台培养研究生的模式与探索</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中国药科大学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刘晓东</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新形势下加强高校学生党员党性教育实效性研究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中国药科大学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陈媛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2017JYDJ-YB0016</w:t>
            </w:r>
          </w:p>
        </w:tc>
        <w:tc>
          <w:tcPr>
            <w:tcW w:w="6398" w:type="dxa"/>
            <w:tcBorders>
              <w:top w:val="single" w:color="auto" w:sz="4" w:space="0"/>
              <w:left w:val="nil"/>
              <w:bottom w:val="single" w:color="auto" w:sz="4" w:space="0"/>
              <w:right w:val="single" w:color="auto" w:sz="4" w:space="0"/>
            </w:tcBorders>
            <w:vAlign w:val="center"/>
          </w:tcPr>
          <w:p>
            <w:pPr>
              <w:widowControl/>
              <w:jc w:val="left"/>
              <w:textAlignment w:val="bottom"/>
              <w:rPr>
                <w:rFonts w:ascii="宋体" w:cs="Times New Roman"/>
                <w:kern w:val="0"/>
                <w:sz w:val="24"/>
                <w:szCs w:val="24"/>
              </w:rPr>
            </w:pPr>
            <w:r>
              <w:rPr>
                <w:rFonts w:hint="eastAsia" w:ascii="宋体" w:hAnsi="宋体" w:cs="宋体"/>
                <w:color w:val="000000"/>
                <w:kern w:val="0"/>
                <w:sz w:val="24"/>
                <w:szCs w:val="24"/>
              </w:rPr>
              <w:t>习近平高校党建思想研究</w:t>
            </w:r>
          </w:p>
        </w:tc>
        <w:tc>
          <w:tcPr>
            <w:tcW w:w="2942"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南京师范大学</w:t>
            </w:r>
          </w:p>
        </w:tc>
        <w:tc>
          <w:tcPr>
            <w:tcW w:w="1831"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hint="eastAsia" w:ascii="宋体" w:hAnsi="宋体" w:cs="宋体"/>
                <w:kern w:val="0"/>
                <w:sz w:val="24"/>
                <w:szCs w:val="24"/>
              </w:rPr>
              <w:t>李建俊</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新时期高校知识分子的群体特征与工作机制研究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南京师范大学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王旭杰</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新形势下党性教育的实效性研究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南京师范大学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李红梅</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2017JYDJ-YB0019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高校突发舆情应对及舆论引导机制研究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南京师范大学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许小东</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从网络热门事件看大学生网络情绪表达</w:t>
            </w:r>
            <w:r>
              <w:rPr>
                <w:rFonts w:ascii="黑体" w:hAnsi="黑体" w:eastAsia="黑体" w:cs="宋体"/>
                <w:kern w:val="0"/>
                <w:sz w:val="24"/>
                <w:szCs w:val="24"/>
              </w:rPr>
              <w:t>——</w:t>
            </w:r>
            <w:r>
              <w:rPr>
                <w:rFonts w:hint="eastAsia" w:ascii="宋体" w:hAnsi="宋体" w:cs="宋体"/>
                <w:kern w:val="0"/>
                <w:sz w:val="24"/>
                <w:szCs w:val="24"/>
              </w:rPr>
              <w:t>高校思政工作创新研究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南京师范大学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郭亮</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中华优秀传统文化和革命文化、社会主义先进文化融入大学生日常思想政治教育研究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南京师范大学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蔡健</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影视作品在高校大学生立德树人中的引领作用</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南京师范大学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顾超</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全面从严治党背景下加强大学生党建工作的思考</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南京师范大学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张春花</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高校思想政治工作科学化评价体系研究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南京邮电大学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庄国波</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高校虚拟社会主流意识形态孵化器领导力研究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南京邮电大学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尹秀娟</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网络舆情视域下高校思想政治工作创新研究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南京邮电大学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陶新宏</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高校团学组织参与精准扶贫行动路径研究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南京林业大学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徐新洲</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高校践行监督执纪“四种形态”的理论与实践研究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南京林业大学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孟晓轲</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2017JYDJ-YB0029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提升高校大学生思想政治教育亲和力和针对性的探索和实践</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南京林业大学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周纯</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供给侧结构性改革视域下高校党务工作者职业能力提升研究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南京信息工程大学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吴广宇</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全面从严治党背景下高校团组织推优入党工作现状及对策研究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南京信息工程大学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葛昕明</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“两学一做”背景下高校学生党员教育管理长效机制构建研究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南京信息工程大学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周淑琴</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思想政治工作贯穿创新创业教育全过程理论与实践探索</w:t>
            </w:r>
            <w:r>
              <w:rPr>
                <w:rFonts w:ascii="黑体" w:hAnsi="黑体" w:eastAsia="黑体" w:cs="宋体"/>
                <w:kern w:val="0"/>
                <w:sz w:val="24"/>
                <w:szCs w:val="24"/>
              </w:rPr>
              <w:t>——</w:t>
            </w:r>
            <w:r>
              <w:rPr>
                <w:rFonts w:hint="eastAsia" w:ascii="宋体" w:hAnsi="宋体" w:cs="宋体"/>
                <w:kern w:val="0"/>
                <w:sz w:val="24"/>
                <w:szCs w:val="24"/>
              </w:rPr>
              <w:t>基于南京信息工程大学的实证分析</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南京信息工程大学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朱亚宾</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净化高校党内政治生态研究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南京信息工程大学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刘雨华</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提高党员干部依法依规推动高校发展的能力研究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南京信息工程大学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周斌</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全面从严治党背景下增强高校师生党员意识研究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南京信息工程大学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蒋明敏</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高校海归青年教师党员发展问题调查与研究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南京信息工程大学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吴春彦</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新形势下高校基层党支部标准化建设的探索与实践研究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南京工业大学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刘志兵</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2017JYDJ-YB0039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高校高学历、海归青年教师党员发展问题研究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南京工业大学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王丽娟</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2017JYDJ-YB0040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高校党员发展质量管理体系效度研究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南京财经大学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陈苏</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2017JYDJ-YB0041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互联网+</w:t>
            </w:r>
            <w:r>
              <w:rPr>
                <w:rFonts w:ascii="宋体" w:hAnsi="宋体" w:cs="宋体"/>
                <w:kern w:val="0"/>
                <w:sz w:val="24"/>
                <w:szCs w:val="24"/>
              </w:rPr>
              <w:t>”</w:t>
            </w:r>
            <w:r>
              <w:rPr>
                <w:rFonts w:hint="eastAsia" w:ascii="宋体" w:hAnsi="宋体" w:cs="宋体"/>
                <w:kern w:val="0"/>
                <w:sz w:val="24"/>
                <w:szCs w:val="24"/>
              </w:rPr>
              <w:t>背景下“两学一做”学习教育常态化、制度化研究</w:t>
            </w:r>
            <w:r>
              <w:rPr>
                <w:rFonts w:ascii="黑体" w:hAnsi="黑体" w:eastAsia="黑体" w:cs="宋体"/>
                <w:kern w:val="0"/>
                <w:sz w:val="24"/>
                <w:szCs w:val="24"/>
              </w:rPr>
              <w:t>——</w:t>
            </w:r>
            <w:r>
              <w:rPr>
                <w:rFonts w:hint="eastAsia" w:ascii="宋体" w:hAnsi="宋体" w:cs="宋体"/>
                <w:kern w:val="0"/>
                <w:sz w:val="24"/>
                <w:szCs w:val="24"/>
              </w:rPr>
              <w:t>以独立学院为例</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南京医科大学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房扬</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2017JYDJ-YB0042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新疆籍少数民族大学生党员培养机制的探索与构建</w:t>
            </w:r>
            <w:r>
              <w:rPr>
                <w:rFonts w:ascii="黑体" w:hAnsi="黑体" w:eastAsia="黑体" w:cs="宋体"/>
                <w:kern w:val="0"/>
                <w:sz w:val="24"/>
                <w:szCs w:val="24"/>
              </w:rPr>
              <w:t>——</w:t>
            </w:r>
            <w:r>
              <w:rPr>
                <w:rFonts w:hint="eastAsia" w:ascii="宋体" w:hAnsi="宋体" w:cs="宋体"/>
                <w:kern w:val="0"/>
                <w:sz w:val="24"/>
                <w:szCs w:val="24"/>
              </w:rPr>
              <w:t>以南京中医药大学为例</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南京中医药大学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徐钰君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ascii="宋体" w:hAnsi="宋体" w:cs="宋体"/>
                <w:color w:val="000000"/>
                <w:kern w:val="0"/>
                <w:sz w:val="24"/>
                <w:szCs w:val="24"/>
              </w:rPr>
              <w:t>43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s="宋体"/>
                <w:color w:val="000000"/>
                <w:kern w:val="0"/>
                <w:sz w:val="24"/>
                <w:szCs w:val="24"/>
              </w:rPr>
            </w:pPr>
            <w:r>
              <w:rPr>
                <w:rFonts w:ascii="宋体" w:hAnsi="宋体" w:cs="宋体"/>
                <w:color w:val="000000"/>
                <w:kern w:val="0"/>
                <w:sz w:val="24"/>
                <w:szCs w:val="24"/>
              </w:rPr>
              <w:t>2017JYDJ-YB0043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高校基层党组织“两学一做”常态化制度化研究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南京审计大学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孔楠</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2017JYDJ-YB0044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书院制模式下当代大学生党员社会责任感探究</w:t>
            </w:r>
            <w:r>
              <w:rPr>
                <w:rFonts w:hint="eastAsia" w:ascii="黑体" w:hAnsi="黑体" w:eastAsia="黑体" w:cs="宋体"/>
                <w:kern w:val="0"/>
                <w:sz w:val="24"/>
                <w:szCs w:val="24"/>
              </w:rPr>
              <w:t>——</w:t>
            </w:r>
            <w:r>
              <w:rPr>
                <w:rFonts w:hint="eastAsia" w:ascii="宋体" w:hAnsi="宋体" w:cs="宋体"/>
                <w:kern w:val="0"/>
                <w:sz w:val="24"/>
                <w:szCs w:val="24"/>
              </w:rPr>
              <w:t>以财经类高校为例</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南京审计大学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刘宏宇</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2017JYDJ-YB0045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高校党员教师国家安全观教育研究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江苏第二师范学院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黄晓波</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2017JYDJ-YB0046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依托“两微一端”创新大学生思想教育研究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江苏开放大学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万天宇</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2017JYDJ-YB0047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访谈式教学提升高校思想政治理论课吸引力和感染力探析</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江苏警官学院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付兵儿</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2017JYDJ-YB0048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新形势下党性教育方式方法及实效性研究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江苏警官学院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吕文军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2017JYDJ-YB0049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构建地方高校意识形态工作领导权、话语权的机制研究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南京晓庄学院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洪涛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2017JYDJ-YB0050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提升高校思想政治教育亲和力和针对性研究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金陵科技学院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李星</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2017JYDJ-YB0051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社会主义核心价值观视角下听障大学生国家意识形态教育研究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南京特殊教育师范学院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钱娟</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2017JYDJ-YB0052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现代大学政治生态文明建设学理研究</w:t>
            </w:r>
            <w:bookmarkStart w:id="1" w:name="_GoBack"/>
            <w:bookmarkEnd w:id="1"/>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中国传媒大学南广学院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史丽琴</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highlight w:val="yellow"/>
              </w:rPr>
            </w:pPr>
            <w:r>
              <w:rPr>
                <w:rFonts w:ascii="宋体" w:hAnsi="宋体" w:cs="宋体"/>
                <w:color w:val="000000"/>
                <w:kern w:val="0"/>
                <w:sz w:val="24"/>
                <w:szCs w:val="24"/>
                <w:highlight w:val="yellow"/>
              </w:rPr>
              <w:t>53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highlight w:val="yellow"/>
              </w:rPr>
            </w:pPr>
            <w:r>
              <w:rPr>
                <w:rFonts w:ascii="宋体" w:hAnsi="宋体" w:cs="宋体"/>
                <w:color w:val="000000"/>
                <w:kern w:val="0"/>
                <w:sz w:val="24"/>
                <w:szCs w:val="24"/>
                <w:highlight w:val="yellow"/>
              </w:rPr>
              <w:t>2017JYDJ-YB0053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highlight w:val="yellow"/>
              </w:rPr>
            </w:pPr>
            <w:r>
              <w:rPr>
                <w:rFonts w:hint="eastAsia" w:ascii="宋体" w:hAnsi="宋体" w:cs="宋体"/>
                <w:kern w:val="0"/>
                <w:sz w:val="24"/>
                <w:szCs w:val="24"/>
                <w:highlight w:val="yellow"/>
              </w:rPr>
              <w:t>立德树人视角下独立学院学生党建工作路径选择及评价机制构建</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highlight w:val="yellow"/>
              </w:rPr>
            </w:pPr>
            <w:r>
              <w:rPr>
                <w:rFonts w:hint="eastAsia" w:ascii="宋体" w:hAnsi="宋体" w:cs="宋体"/>
                <w:kern w:val="0"/>
                <w:sz w:val="24"/>
                <w:szCs w:val="24"/>
                <w:highlight w:val="yellow"/>
              </w:rPr>
              <w:t>南京航空航天大学金城学院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highlight w:val="yellow"/>
              </w:rPr>
            </w:pPr>
            <w:r>
              <w:rPr>
                <w:rFonts w:hint="eastAsia" w:ascii="宋体" w:hAnsi="宋体" w:cs="宋体"/>
                <w:kern w:val="0"/>
                <w:sz w:val="24"/>
                <w:szCs w:val="24"/>
                <w:highlight w:val="yellow"/>
              </w:rPr>
              <w:t>陶荣兄</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highlight w:val="yellow"/>
              </w:rPr>
            </w:pPr>
            <w:r>
              <w:rPr>
                <w:rFonts w:ascii="宋体" w:hAnsi="宋体" w:cs="宋体"/>
                <w:color w:val="000000"/>
                <w:kern w:val="0"/>
                <w:sz w:val="24"/>
                <w:szCs w:val="24"/>
                <w:highlight w:val="yellow"/>
              </w:rPr>
              <w:t>54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highlight w:val="yellow"/>
              </w:rPr>
            </w:pPr>
            <w:r>
              <w:rPr>
                <w:rFonts w:ascii="宋体" w:hAnsi="宋体" w:cs="宋体"/>
                <w:color w:val="000000"/>
                <w:kern w:val="0"/>
                <w:sz w:val="24"/>
                <w:szCs w:val="24"/>
                <w:highlight w:val="yellow"/>
              </w:rPr>
              <w:t>2017JYDJ-YB0054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highlight w:val="yellow"/>
              </w:rPr>
            </w:pPr>
            <w:r>
              <w:rPr>
                <w:rFonts w:hint="eastAsia" w:ascii="宋体" w:hAnsi="宋体" w:cs="宋体"/>
                <w:kern w:val="0"/>
                <w:sz w:val="24"/>
                <w:szCs w:val="24"/>
                <w:highlight w:val="yellow"/>
              </w:rPr>
              <w:t>“互联网+”时代独立院校学生党支部工作的探索</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highlight w:val="yellow"/>
              </w:rPr>
            </w:pPr>
            <w:r>
              <w:rPr>
                <w:rFonts w:hint="eastAsia" w:ascii="宋体" w:hAnsi="宋体" w:cs="宋体"/>
                <w:kern w:val="0"/>
                <w:sz w:val="24"/>
                <w:szCs w:val="24"/>
                <w:highlight w:val="yellow"/>
              </w:rPr>
              <w:t>南京航空航天大学金城学院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highlight w:val="yellow"/>
              </w:rPr>
            </w:pPr>
            <w:r>
              <w:rPr>
                <w:rFonts w:hint="eastAsia" w:ascii="宋体" w:hAnsi="宋体" w:cs="宋体"/>
                <w:kern w:val="0"/>
                <w:sz w:val="24"/>
                <w:szCs w:val="24"/>
                <w:highlight w:val="yellow"/>
              </w:rPr>
              <w:t>汪芳</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2017JYDJ-YB0055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新常态下高校思想政治工作的规律研究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南京工业职业技术学院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徐德志</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2017JYDJ-YB0056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高职院校大学生党员发挥先锋模范作用机制建设研究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南京科技职业学院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林刚/丁晓磊</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2017JYDJ-YB0057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高职院校学生主流意识形态教育与引导研究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江苏海事职业技术学院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刘燕飞</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2017JYDJ-YB0058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高校思想政治教育工作内部质量保证体系建设与运行研究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南京交通职业技术学院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朱素阳</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59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2017JYDJ-YB0059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供给侧视域下高校“三全育人”工作模式与平台建设研究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南京交通职业技术学院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曹莹</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新媒体语境下大学生思想政治教育工作面临的挑战及其对策研究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南京信息职业技术学院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王增芬</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微媒体对提升高职院校思想政治教育实效性的影响及融合路径研究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南京旅游职业学院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张岳军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新时期宣传工作在高职院校学生党支部建设中的作用探究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江苏卫生健康职业学院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辛亭亭</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提升高校思想政治教育亲和力和针对性研究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金肯职业技术学院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王霞</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提高党员干部依法依规推动高校发展的能力研究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江南大学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雷虹</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立德树人视角下高校学生党建工作提升路径研究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江苏信息职业技术学院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许晖</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提升高校思想政治教育亲和力和针对性研究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无锡职业技术学院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花树洋</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高校辅导员话语权的生成机理研究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无锡职业技术学院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赵癸萍</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历史虚无主义思潮与高校意识形态安全研究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无锡商业职业技术学院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陈承红/黄磊</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69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2017JYDJ-YB0069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推进高校教工党支部标准化建设研究</w:t>
            </w:r>
            <w:r>
              <w:rPr>
                <w:rFonts w:ascii="黑体" w:hAnsi="黑体" w:eastAsia="黑体" w:cs="宋体"/>
                <w:kern w:val="0"/>
                <w:sz w:val="24"/>
                <w:szCs w:val="24"/>
              </w:rPr>
              <w:t>——</w:t>
            </w:r>
            <w:r>
              <w:rPr>
                <w:rFonts w:hint="eastAsia" w:ascii="宋体" w:hAnsi="宋体" w:cs="宋体"/>
                <w:kern w:val="0"/>
                <w:sz w:val="24"/>
                <w:szCs w:val="24"/>
              </w:rPr>
              <w:t>基于“全面质量管理”视角</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无锡商业职业技术学院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张想林</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2017JYDJ-YB0070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全面从严治党背景下加强高职院校党员干部队伍建设途径探索</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无锡工艺职业技术学院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潘健</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2017JYDJ-YB0071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高职院校“一体三翼”大党建工作格局研究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无锡科技职业学院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王国忠</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2017JYDJ-YB0072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bookmarkStart w:id="0" w:name="RANGE!A128"/>
            <w:r>
              <w:rPr>
                <w:rFonts w:hint="eastAsia" w:ascii="宋体" w:hAnsi="宋体" w:cs="宋体"/>
                <w:kern w:val="0"/>
                <w:sz w:val="24"/>
                <w:szCs w:val="24"/>
              </w:rPr>
              <w:t>“3+3”现代职教体系下团员党员发展教育衔接工作探讨</w:t>
            </w:r>
            <w:bookmarkEnd w:id="0"/>
          </w:p>
          <w:p>
            <w:pPr>
              <w:jc w:val="left"/>
              <w:rPr>
                <w:rFonts w:ascii="宋体" w:hAnsi="宋体" w:cs="宋体"/>
                <w:kern w:val="0"/>
                <w:sz w:val="24"/>
                <w:szCs w:val="24"/>
              </w:rPr>
            </w:pPr>
            <w:r>
              <w:rPr>
                <w:rFonts w:ascii="黑体" w:hAnsi="黑体" w:eastAsia="黑体" w:cs="宋体"/>
                <w:kern w:val="0"/>
                <w:sz w:val="24"/>
                <w:szCs w:val="24"/>
              </w:rPr>
              <w:t>——</w:t>
            </w:r>
            <w:r>
              <w:rPr>
                <w:rFonts w:hint="eastAsia" w:ascii="宋体" w:hAnsi="宋体" w:cs="宋体"/>
                <w:kern w:val="0"/>
                <w:sz w:val="24"/>
                <w:szCs w:val="24"/>
              </w:rPr>
              <w:t>以江阴职业技术学院为例</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江阴职业技术学院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董泽民</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2017JYDJ-YB0073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民办高校全员、全过程、全方位多元化育人机制与平台建设研究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太湖创意职业技术学院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张国良</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74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hAnsi="宋体" w:cs="宋体"/>
                <w:color w:val="000000"/>
                <w:kern w:val="0"/>
                <w:sz w:val="24"/>
                <w:szCs w:val="24"/>
              </w:rPr>
            </w:pPr>
            <w:r>
              <w:rPr>
                <w:rFonts w:ascii="宋体" w:hAnsi="宋体" w:cs="宋体"/>
                <w:color w:val="000000"/>
                <w:kern w:val="0"/>
                <w:sz w:val="24"/>
                <w:szCs w:val="24"/>
              </w:rPr>
              <w:t>2017JYDJ-YB007</w:t>
            </w:r>
            <w:r>
              <w:rPr>
                <w:rFonts w:hint="eastAsia" w:ascii="宋体" w:hAnsi="宋体" w:cs="宋体"/>
                <w:color w:val="000000"/>
                <w:kern w:val="0"/>
                <w:sz w:val="24"/>
                <w:szCs w:val="24"/>
              </w:rPr>
              <w:t>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高校意识形态工作领导权与话语权研究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中国矿业大学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龚成</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2017JYDJ-YB0075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第二课堂成绩单制度下基于服务学习理论的高校实践育人长效机制构建研究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中国矿业大学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陈文</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2017JYDJ-YB0076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高校网络舆情视域下思想政治教育话语变革研究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徐州医科大学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赵光侠</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2017JYDJ-YB0077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新形势下党性教育方式方法及实效性研究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徐州医科大学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宋光辉</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2017JYDJ-YB0078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高校思想政治理论课话语权体系建设研究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徐州医科大学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时统君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79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2017JYDJ-YB0079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高校心理育人的机制和路径研究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徐州医科大学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陈凤鸿</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新形势下增强高校思想政治理论课吸引力、说服力、感染力研究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徐州医科大学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张敏</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落实“两个责任”的科学路径探索</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徐州工程学院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戴金来</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社会主义核心价值观认同教育融入高职院校就业指导类课程策略研究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江苏建筑职业技术学院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吴浩</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运用风险管理理论防治基层“微腐败”问题研究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徐州工业职业技术学院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高强</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大数据时代高校思想政治教育方法创新研究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常州大学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王欢</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心理资本视域下大学生党员培养研究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常州大学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陈粲</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地方高校以文化人以文育人的独特性与现实路径研究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常州工学院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熊焱生</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依托“三微一端”提升大学生思想政治教育有效性研究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常州工学院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冉育彭</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高校学生党支部建设工作模式研究</w:t>
            </w:r>
            <w:r>
              <w:rPr>
                <w:rFonts w:ascii="黑体" w:hAnsi="黑体" w:eastAsia="黑体" w:cs="宋体"/>
                <w:kern w:val="0"/>
                <w:sz w:val="24"/>
                <w:szCs w:val="24"/>
              </w:rPr>
              <w:t>——</w:t>
            </w:r>
            <w:r>
              <w:rPr>
                <w:rFonts w:hint="eastAsia" w:ascii="宋体" w:hAnsi="宋体" w:cs="宋体"/>
                <w:kern w:val="0"/>
                <w:sz w:val="24"/>
                <w:szCs w:val="24"/>
              </w:rPr>
              <w:t>基于“钻石模型”理论</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常州纺织服装职业技术学院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张晓敏</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89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2017JYDJ-YB0089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协同论视阈下高职生就业指导与思政教育工作融合研究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常州工程职业技术学院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姜庆华</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高校“两学一做”常态化研究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常州轻工职业技术学院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费建明</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高校思想政治教育工作的网络话语权与话语体系研究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常州信息职业技术学院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高成瑨</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当代高校思想政治工作的基础性和关键性问题研究</w:t>
            </w:r>
            <w:r>
              <w:rPr>
                <w:rFonts w:ascii="黑体" w:hAnsi="黑体" w:eastAsia="黑体" w:cs="宋体"/>
                <w:kern w:val="0"/>
                <w:sz w:val="24"/>
                <w:szCs w:val="24"/>
              </w:rPr>
              <w:t>——</w:t>
            </w:r>
            <w:r>
              <w:rPr>
                <w:rFonts w:hint="eastAsia" w:ascii="宋体" w:hAnsi="宋体" w:cs="宋体"/>
                <w:kern w:val="0"/>
                <w:sz w:val="24"/>
                <w:szCs w:val="24"/>
              </w:rPr>
              <w:t>学习贯彻习总书记关于高校思想政治工作重要讲话精神研究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杨礼富</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新形势下高校大学生党性教育方式及实效性研究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尹婷婷</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高校马克思主义意识形态话语权建构研究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庄友刚</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提升高校党员干部形象研究</w:t>
            </w:r>
            <w:r>
              <w:rPr>
                <w:rFonts w:ascii="黑体" w:hAnsi="黑体" w:eastAsia="黑体" w:cs="宋体"/>
                <w:kern w:val="0"/>
                <w:sz w:val="24"/>
                <w:szCs w:val="24"/>
              </w:rPr>
              <w:t>——</w:t>
            </w:r>
            <w:r>
              <w:rPr>
                <w:rFonts w:hint="eastAsia" w:ascii="宋体" w:hAnsi="宋体" w:cs="宋体"/>
                <w:kern w:val="0"/>
                <w:sz w:val="24"/>
                <w:szCs w:val="24"/>
              </w:rPr>
              <w:t>以马克思主义学院领导班子建设为例</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张才君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新形势下高校加强党外知识分子工作研究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薛辉</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立德树人视角下高校党建工作路径研究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苏州科技大学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宫向阳</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角色理论视域下的高校学生党建研究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常熟理工学院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俞进伟</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99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2017JYDJ-YB0099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立德树人视野下高职院校党员教育管理路径研究</w:t>
            </w:r>
            <w:r>
              <w:rPr>
                <w:rFonts w:ascii="黑体" w:hAnsi="黑体" w:eastAsia="黑体" w:cs="宋体"/>
                <w:kern w:val="0"/>
                <w:sz w:val="24"/>
                <w:szCs w:val="24"/>
              </w:rPr>
              <w:t>——</w:t>
            </w:r>
            <w:r>
              <w:rPr>
                <w:rFonts w:hint="eastAsia" w:ascii="宋体" w:hAnsi="宋体" w:cs="宋体"/>
                <w:kern w:val="0"/>
                <w:sz w:val="24"/>
                <w:szCs w:val="24"/>
              </w:rPr>
              <w:t>以苏州卫生职业技术学院为例</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苏州卫生职业技术学院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王英</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立德树人视野下高校学生党建工作机制与途径的探析</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苏州卫生职业技术学院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张慧</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高职院校党支部标准化建设考核的实践研究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苏州卫生职业技术学院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王韶频</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马克思主义人学视域下高校青年教师马克思主义信仰的建构研究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苏州工业园区服务外包职业学院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朱彦妮</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高职院校大学生党员工匠精神核心素养培育途径研究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苏州工业职业技术学院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张泠</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立德树人视角下创新高校党建工作路径的研究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苏州工业职业技术学院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钱涛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新时期提升地方高职院校思想政治教育针对性的探索与实践</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沙洲职业工学院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黄辉</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“四个意识”下高职院校党委领导下的校长负责制问题研究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苏州健雄职业技术学院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张学军</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教练技术视角下高职院校实践育人的机制研究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苏州工业园区职业技术学院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何菁</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校企双主体育人视域下的高职院校实践育人机制研究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昆山登云科技职业学院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胡远远</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109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2017JYDJ-YB0109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高校思想政治教育工作的“供给侧”改革创新研究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苏州经贸职业技术学院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魏娜</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平媒时代高校网络舆情的热点触发与意识形态工作平台创新</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李晶</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立德树人视角下高校党建工作路径研究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刘泓泉</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“互联网+”环境下高校形势与政策课教学模式创新研究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颜廷宏</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“大思政”背景下的榜样教育引导力与传播力研究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张杨乐</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新形势下党性教育方式方法及实效性研究</w:t>
            </w:r>
            <w:r>
              <w:rPr>
                <w:rFonts w:ascii="黑体" w:hAnsi="黑体" w:eastAsia="黑体" w:cs="宋体"/>
                <w:kern w:val="0"/>
                <w:sz w:val="24"/>
                <w:szCs w:val="24"/>
              </w:rPr>
              <w:t>——</w:t>
            </w:r>
            <w:r>
              <w:rPr>
                <w:rFonts w:hint="eastAsia" w:ascii="宋体" w:hAnsi="宋体" w:cs="宋体"/>
                <w:kern w:val="0"/>
                <w:sz w:val="24"/>
                <w:szCs w:val="24"/>
              </w:rPr>
              <w:t>从弗洛姆人性理论视角</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江苏工程职业技术学院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赵芹</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传统家训在当代大学生社会主义核心价值观教育中的应用研究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南通航运职业技术学院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滕苏苏</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新形势下高职院校基层党支部标准化建设研究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江苏商贸职业学院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倪志红</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工匠精神视域下高职院校全员、全过程、全方位育人的机制与平台建设研究</w:t>
            </w:r>
            <w:r>
              <w:rPr>
                <w:rFonts w:ascii="黑体" w:hAnsi="黑体" w:eastAsia="黑体" w:cs="宋体"/>
                <w:kern w:val="0"/>
                <w:sz w:val="24"/>
                <w:szCs w:val="24"/>
              </w:rPr>
              <w:t>——</w:t>
            </w:r>
            <w:r>
              <w:rPr>
                <w:rFonts w:hint="eastAsia" w:cs="宋体" w:asciiTheme="minorEastAsia" w:hAnsiTheme="minorEastAsia" w:eastAsiaTheme="minorEastAsia"/>
                <w:kern w:val="0"/>
                <w:sz w:val="24"/>
                <w:szCs w:val="24"/>
              </w:rPr>
              <w:t>以“追梦”教育为例</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南通科技职业学院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保云</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学生党建工作管理信息系统（Web版）</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淮海工学院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窦长娥</w:t>
            </w:r>
          </w:p>
        </w:tc>
      </w:tr>
      <w:tr>
        <w:tblPrEx>
          <w:tblLayout w:type="fixed"/>
          <w:tblCellMar>
            <w:top w:w="0" w:type="dxa"/>
            <w:left w:w="108" w:type="dxa"/>
            <w:bottom w:w="0" w:type="dxa"/>
            <w:right w:w="108" w:type="dxa"/>
          </w:tblCellMar>
        </w:tblPrEx>
        <w:trPr>
          <w:trHeight w:val="75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119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2017JYDJ-YB0119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高校“两学一做”常态化制度化研究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淮海工学院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王明忠</w:t>
            </w:r>
          </w:p>
        </w:tc>
      </w:tr>
      <w:tr>
        <w:tblPrEx>
          <w:tblLayout w:type="fixed"/>
          <w:tblCellMar>
            <w:top w:w="0" w:type="dxa"/>
            <w:left w:w="108" w:type="dxa"/>
            <w:bottom w:w="0" w:type="dxa"/>
            <w:right w:w="108" w:type="dxa"/>
          </w:tblCellMar>
        </w:tblPrEx>
        <w:trPr>
          <w:trHeight w:val="621"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新形势下党性教育方式方法及实效性研究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连云港师范高等专科学校</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张永康</w:t>
            </w:r>
          </w:p>
        </w:tc>
      </w:tr>
      <w:tr>
        <w:tblPrEx>
          <w:tblLayout w:type="fixed"/>
          <w:tblCellMar>
            <w:top w:w="0" w:type="dxa"/>
            <w:left w:w="108" w:type="dxa"/>
            <w:bottom w:w="0" w:type="dxa"/>
            <w:right w:w="108" w:type="dxa"/>
          </w:tblCellMar>
        </w:tblPrEx>
        <w:trPr>
          <w:trHeight w:val="614"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“诗教育人”视角下高校学生党建工作路径研究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连云港师范高等专科学校</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张乾清</w:t>
            </w:r>
          </w:p>
        </w:tc>
      </w:tr>
      <w:tr>
        <w:tblPrEx>
          <w:tblLayout w:type="fixed"/>
          <w:tblCellMar>
            <w:top w:w="0" w:type="dxa"/>
            <w:left w:w="108" w:type="dxa"/>
            <w:bottom w:w="0" w:type="dxa"/>
            <w:right w:w="108" w:type="dxa"/>
          </w:tblCellMar>
        </w:tblPrEx>
        <w:trPr>
          <w:trHeight w:val="608"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传媒背景下高校意识形态引领能力研究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淮阴师范学院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羊森</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习近平关于高校党的建设新思想研究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淮阴师范学院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柏华</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当前高校意识形态领导权与话语权问题研究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淮阴师范学院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包天强</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高校主流意识形态传播话语体系建构研究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淮阴工学院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夏唯畏</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基于立德树人视角的高校党建工作路径研究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江苏食品药品职业技术学院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龙婧婧</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工科类高职院校主流意识形态阵地建设和管理研究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江苏食品药品职业技术学院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杨建</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内地高职院校少数民族大学生社会主义核心价值观认同教育研究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江苏财经职业技术学院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袁飞</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129</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2017JYDJ-YB0129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“体验式教育”与高职学生思想政治教育感染力提升研究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江苏财经职业技术学院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郑毅</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130</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2017JYDJ-YB0130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“互联网+”模式下加强高职院校教工党支部建设的策略研究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淮安信息职业技术学院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吴玲</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131</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2017JYDJ-YB0131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基于艺术实践育人视角的基层党建工作创新研究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盐城工学院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张军</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132</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2017JYDJ-YB0132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应用型本科高校“青马工程”与学生党建的衔接路径探析</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盐城工学院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李慧</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133</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2017JYDJ-YB0133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“两微一端”背景下大学生思想政治教育创新研究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盐城工业职业技术学院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郭爱国</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134</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2017JYDJ-YB0134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高校马克思主义意识形态话语权建构研究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扬州大学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徐建飞</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135</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2017JYDJ-YB0135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马克思主义经典作家党的宣传工作思想比较研究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扬州大学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杨绍琼</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136</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2017JYDJ-YB0136</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加强党校高端智库建设研究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扬州大学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卜雪梅</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color w:val="000000"/>
                <w:kern w:val="0"/>
                <w:sz w:val="24"/>
                <w:szCs w:val="24"/>
              </w:rPr>
            </w:pPr>
            <w:r>
              <w:rPr>
                <w:rFonts w:ascii="宋体" w:cs="宋体"/>
                <w:color w:val="000000"/>
                <w:kern w:val="0"/>
                <w:sz w:val="24"/>
                <w:szCs w:val="24"/>
              </w:rPr>
              <w:t>137</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2017JYDJ-YB013</w:t>
            </w:r>
            <w:r>
              <w:rPr>
                <w:rFonts w:hint="eastAsia" w:ascii="宋体" w:hAnsi="宋体" w:cs="宋体"/>
                <w:color w:val="000000"/>
                <w:kern w:val="0"/>
                <w:sz w:val="24"/>
                <w:szCs w:val="24"/>
              </w:rPr>
              <w:t>7</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基于“互联网 +”的高职学生党建信息化研究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扬州工业职业技术学院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刘伯玉</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cs="宋体"/>
                <w:color w:val="000000"/>
                <w:kern w:val="0"/>
                <w:sz w:val="24"/>
                <w:szCs w:val="24"/>
              </w:rPr>
            </w:pPr>
            <w:r>
              <w:rPr>
                <w:rFonts w:ascii="宋体" w:cs="宋体"/>
                <w:color w:val="000000"/>
                <w:kern w:val="0"/>
                <w:sz w:val="24"/>
                <w:szCs w:val="24"/>
              </w:rPr>
              <w:t>138</w:t>
            </w:r>
          </w:p>
        </w:tc>
        <w:tc>
          <w:tcPr>
            <w:tcW w:w="2047" w:type="dxa"/>
            <w:tcBorders>
              <w:top w:val="single" w:color="auto" w:sz="4" w:space="0"/>
              <w:left w:val="nil"/>
              <w:bottom w:val="single" w:color="auto" w:sz="4" w:space="0"/>
              <w:right w:val="single" w:color="auto" w:sz="4" w:space="0"/>
            </w:tcBorders>
            <w:vAlign w:val="center"/>
          </w:tcPr>
          <w:p>
            <w:pPr>
              <w:widowControl/>
              <w:textAlignment w:val="center"/>
              <w:rPr>
                <w:rFonts w:ascii="宋体" w:cs="Times New Roman"/>
                <w:color w:val="000000"/>
                <w:kern w:val="0"/>
                <w:sz w:val="24"/>
                <w:szCs w:val="24"/>
              </w:rPr>
            </w:pPr>
            <w:r>
              <w:rPr>
                <w:rFonts w:ascii="宋体" w:hAnsi="宋体" w:cs="宋体"/>
                <w:color w:val="000000"/>
                <w:kern w:val="0"/>
                <w:sz w:val="24"/>
                <w:szCs w:val="24"/>
              </w:rPr>
              <w:t>2017JYDJ-YB0138</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积极心理学视域下高校心理育人的范式研究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扬州工业职业技术学院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王丽萌</w:t>
            </w:r>
          </w:p>
        </w:tc>
      </w:tr>
      <w:tr>
        <w:tblPrEx>
          <w:tblLayout w:type="fixed"/>
          <w:tblCellMar>
            <w:top w:w="0" w:type="dxa"/>
            <w:left w:w="108" w:type="dxa"/>
            <w:bottom w:w="0" w:type="dxa"/>
            <w:right w:w="108" w:type="dxa"/>
          </w:tblCellMar>
        </w:tblPrEx>
        <w:trPr>
          <w:trHeight w:val="735"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cs="宋体"/>
                <w:color w:val="000000"/>
                <w:kern w:val="0"/>
                <w:sz w:val="24"/>
                <w:szCs w:val="24"/>
              </w:rPr>
            </w:pPr>
            <w:r>
              <w:rPr>
                <w:rFonts w:ascii="宋体" w:cs="宋体"/>
                <w:color w:val="000000"/>
                <w:kern w:val="0"/>
                <w:sz w:val="24"/>
                <w:szCs w:val="24"/>
              </w:rPr>
              <w:t>139</w:t>
            </w:r>
          </w:p>
        </w:tc>
        <w:tc>
          <w:tcPr>
            <w:tcW w:w="2047" w:type="dxa"/>
            <w:tcBorders>
              <w:top w:val="single" w:color="auto" w:sz="4" w:space="0"/>
              <w:left w:val="nil"/>
              <w:bottom w:val="single" w:color="auto" w:sz="4" w:space="0"/>
              <w:right w:val="single" w:color="auto" w:sz="4" w:space="0"/>
            </w:tcBorders>
            <w:vAlign w:val="center"/>
          </w:tcPr>
          <w:p>
            <w:pPr>
              <w:textAlignment w:val="center"/>
              <w:rPr>
                <w:rFonts w:ascii="宋体" w:cs="Times New Roman"/>
                <w:color w:val="000000"/>
                <w:kern w:val="0"/>
                <w:sz w:val="24"/>
                <w:szCs w:val="24"/>
              </w:rPr>
            </w:pPr>
            <w:r>
              <w:rPr>
                <w:rFonts w:ascii="宋体" w:hAnsi="宋体" w:cs="宋体"/>
                <w:color w:val="000000"/>
                <w:kern w:val="0"/>
                <w:sz w:val="24"/>
                <w:szCs w:val="24"/>
              </w:rPr>
              <w:t>2017JYDJ-YB0139</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互联网+</w:t>
            </w:r>
            <w:r>
              <w:rPr>
                <w:rFonts w:ascii="宋体" w:hAnsi="宋体" w:cs="宋体"/>
                <w:kern w:val="0"/>
                <w:sz w:val="24"/>
                <w:szCs w:val="24"/>
              </w:rPr>
              <w:t>”</w:t>
            </w:r>
            <w:r>
              <w:rPr>
                <w:rFonts w:hint="eastAsia" w:ascii="宋体" w:hAnsi="宋体" w:cs="宋体"/>
                <w:kern w:val="0"/>
                <w:sz w:val="24"/>
                <w:szCs w:val="24"/>
              </w:rPr>
              <w:t>时代高校思想政治教育“微”路径探析</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扬州市职业大学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夏晓青</w:t>
            </w:r>
          </w:p>
        </w:tc>
      </w:tr>
      <w:tr>
        <w:tblPrEx>
          <w:tblLayout w:type="fixed"/>
          <w:tblCellMar>
            <w:top w:w="0" w:type="dxa"/>
            <w:left w:w="108" w:type="dxa"/>
            <w:bottom w:w="0" w:type="dxa"/>
            <w:right w:w="108" w:type="dxa"/>
          </w:tblCellMar>
        </w:tblPrEx>
        <w:trPr>
          <w:trHeight w:val="616"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cs="宋体"/>
                <w:color w:val="000000"/>
                <w:kern w:val="0"/>
                <w:sz w:val="24"/>
                <w:szCs w:val="24"/>
              </w:rPr>
            </w:pPr>
            <w:r>
              <w:rPr>
                <w:rFonts w:ascii="宋体" w:cs="宋体"/>
                <w:color w:val="000000"/>
                <w:kern w:val="0"/>
                <w:sz w:val="24"/>
                <w:szCs w:val="24"/>
              </w:rPr>
              <w:t>140</w:t>
            </w:r>
          </w:p>
        </w:tc>
        <w:tc>
          <w:tcPr>
            <w:tcW w:w="2047" w:type="dxa"/>
            <w:tcBorders>
              <w:top w:val="single" w:color="auto" w:sz="4" w:space="0"/>
              <w:left w:val="nil"/>
              <w:bottom w:val="single" w:color="auto" w:sz="4" w:space="0"/>
              <w:right w:val="single" w:color="auto" w:sz="4" w:space="0"/>
            </w:tcBorders>
            <w:vAlign w:val="center"/>
          </w:tcPr>
          <w:p>
            <w:pPr>
              <w:textAlignment w:val="center"/>
              <w:rPr>
                <w:rFonts w:ascii="宋体" w:cs="Times New Roman"/>
                <w:color w:val="000000"/>
                <w:kern w:val="0"/>
                <w:sz w:val="24"/>
                <w:szCs w:val="24"/>
              </w:rPr>
            </w:pPr>
            <w:r>
              <w:rPr>
                <w:rFonts w:ascii="宋体" w:hAnsi="宋体" w:cs="宋体"/>
                <w:color w:val="000000"/>
                <w:kern w:val="0"/>
                <w:sz w:val="24"/>
                <w:szCs w:val="24"/>
              </w:rPr>
              <w:t>2017JYDJ-YB0140</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高校实践育人机制研究</w:t>
            </w:r>
            <w:r>
              <w:rPr>
                <w:rFonts w:ascii="黑体" w:hAnsi="黑体" w:eastAsia="黑体" w:cs="宋体"/>
                <w:kern w:val="0"/>
                <w:sz w:val="24"/>
                <w:szCs w:val="24"/>
              </w:rPr>
              <w:t>——</w:t>
            </w:r>
            <w:r>
              <w:rPr>
                <w:rFonts w:hint="eastAsia" w:ascii="宋体" w:hAnsi="宋体" w:cs="宋体"/>
                <w:kern w:val="0"/>
                <w:sz w:val="24"/>
                <w:szCs w:val="24"/>
              </w:rPr>
              <w:t>打造“五位一体”的育人机制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扬州商务高等职业学校</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经贵宝</w:t>
            </w:r>
          </w:p>
        </w:tc>
      </w:tr>
      <w:tr>
        <w:tblPrEx>
          <w:tblLayout w:type="fixed"/>
          <w:tblCellMar>
            <w:top w:w="0" w:type="dxa"/>
            <w:left w:w="108" w:type="dxa"/>
            <w:bottom w:w="0" w:type="dxa"/>
            <w:right w:w="108" w:type="dxa"/>
          </w:tblCellMar>
        </w:tblPrEx>
        <w:trPr>
          <w:trHeight w:val="624"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cs="宋体"/>
                <w:color w:val="000000"/>
                <w:kern w:val="0"/>
                <w:sz w:val="24"/>
                <w:szCs w:val="24"/>
              </w:rPr>
            </w:pPr>
            <w:r>
              <w:rPr>
                <w:rFonts w:ascii="宋体" w:cs="宋体"/>
                <w:color w:val="000000"/>
                <w:kern w:val="0"/>
                <w:sz w:val="24"/>
                <w:szCs w:val="24"/>
              </w:rPr>
              <w:t>141</w:t>
            </w:r>
          </w:p>
        </w:tc>
        <w:tc>
          <w:tcPr>
            <w:tcW w:w="2047" w:type="dxa"/>
            <w:tcBorders>
              <w:top w:val="single" w:color="auto" w:sz="4" w:space="0"/>
              <w:left w:val="nil"/>
              <w:bottom w:val="single" w:color="auto" w:sz="4" w:space="0"/>
              <w:right w:val="single" w:color="auto" w:sz="4" w:space="0"/>
            </w:tcBorders>
            <w:vAlign w:val="center"/>
          </w:tcPr>
          <w:p>
            <w:pPr>
              <w:textAlignment w:val="center"/>
              <w:rPr>
                <w:rFonts w:ascii="宋体" w:cs="Times New Roman"/>
                <w:color w:val="000000"/>
                <w:kern w:val="0"/>
                <w:sz w:val="24"/>
                <w:szCs w:val="24"/>
              </w:rPr>
            </w:pPr>
            <w:r>
              <w:rPr>
                <w:rFonts w:ascii="宋体" w:hAnsi="宋体" w:cs="宋体"/>
                <w:color w:val="000000"/>
                <w:kern w:val="0"/>
                <w:sz w:val="24"/>
                <w:szCs w:val="24"/>
              </w:rPr>
              <w:t>2017JYDJ-YB0141</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高校全员、全过程、全方位育人的机制与平台建设研究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李战军</w:t>
            </w:r>
          </w:p>
        </w:tc>
      </w:tr>
      <w:tr>
        <w:tblPrEx>
          <w:tblLayout w:type="fixed"/>
          <w:tblCellMar>
            <w:top w:w="0" w:type="dxa"/>
            <w:left w:w="108" w:type="dxa"/>
            <w:bottom w:w="0" w:type="dxa"/>
            <w:right w:w="108" w:type="dxa"/>
          </w:tblCellMar>
        </w:tblPrEx>
        <w:trPr>
          <w:trHeight w:val="604"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cs="宋体"/>
                <w:color w:val="000000"/>
                <w:kern w:val="0"/>
                <w:sz w:val="24"/>
                <w:szCs w:val="24"/>
              </w:rPr>
            </w:pPr>
            <w:r>
              <w:rPr>
                <w:rFonts w:ascii="宋体" w:cs="宋体"/>
                <w:color w:val="000000"/>
                <w:kern w:val="0"/>
                <w:sz w:val="24"/>
                <w:szCs w:val="24"/>
              </w:rPr>
              <w:t>142</w:t>
            </w:r>
          </w:p>
        </w:tc>
        <w:tc>
          <w:tcPr>
            <w:tcW w:w="2047" w:type="dxa"/>
            <w:tcBorders>
              <w:top w:val="single" w:color="auto" w:sz="4" w:space="0"/>
              <w:left w:val="nil"/>
              <w:bottom w:val="single" w:color="auto" w:sz="4" w:space="0"/>
              <w:right w:val="single" w:color="auto" w:sz="4" w:space="0"/>
            </w:tcBorders>
            <w:vAlign w:val="center"/>
          </w:tcPr>
          <w:p>
            <w:pPr>
              <w:textAlignment w:val="center"/>
              <w:rPr>
                <w:rFonts w:ascii="宋体" w:cs="Times New Roman"/>
                <w:color w:val="000000"/>
                <w:kern w:val="0"/>
                <w:sz w:val="24"/>
                <w:szCs w:val="24"/>
              </w:rPr>
            </w:pPr>
            <w:r>
              <w:rPr>
                <w:rFonts w:ascii="宋体" w:hAnsi="宋体" w:cs="宋体"/>
                <w:color w:val="000000"/>
                <w:kern w:val="0"/>
                <w:sz w:val="24"/>
                <w:szCs w:val="24"/>
              </w:rPr>
              <w:t>2017JYDJ-YB0142</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新形势下大学生党员理想信念问题研究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江苏科技大学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李秀明</w:t>
            </w:r>
          </w:p>
        </w:tc>
      </w:tr>
      <w:tr>
        <w:tblPrEx>
          <w:tblLayout w:type="fixed"/>
          <w:tblCellMar>
            <w:top w:w="0" w:type="dxa"/>
            <w:left w:w="108" w:type="dxa"/>
            <w:bottom w:w="0" w:type="dxa"/>
            <w:right w:w="108" w:type="dxa"/>
          </w:tblCellMar>
        </w:tblPrEx>
        <w:trPr>
          <w:trHeight w:val="604"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cs="宋体"/>
                <w:color w:val="000000"/>
                <w:kern w:val="0"/>
                <w:sz w:val="24"/>
                <w:szCs w:val="24"/>
              </w:rPr>
            </w:pPr>
            <w:r>
              <w:rPr>
                <w:rFonts w:ascii="宋体" w:cs="宋体"/>
                <w:color w:val="000000"/>
                <w:kern w:val="0"/>
                <w:sz w:val="24"/>
                <w:szCs w:val="24"/>
              </w:rPr>
              <w:t>143</w:t>
            </w:r>
          </w:p>
        </w:tc>
        <w:tc>
          <w:tcPr>
            <w:tcW w:w="2047" w:type="dxa"/>
            <w:tcBorders>
              <w:top w:val="single" w:color="auto" w:sz="4" w:space="0"/>
              <w:left w:val="nil"/>
              <w:bottom w:val="single" w:color="auto" w:sz="4" w:space="0"/>
              <w:right w:val="single" w:color="auto" w:sz="4" w:space="0"/>
            </w:tcBorders>
            <w:vAlign w:val="center"/>
          </w:tcPr>
          <w:p>
            <w:pPr>
              <w:textAlignment w:val="center"/>
              <w:rPr>
                <w:rFonts w:ascii="宋体" w:cs="Times New Roman"/>
                <w:color w:val="000000"/>
                <w:kern w:val="0"/>
                <w:sz w:val="24"/>
                <w:szCs w:val="24"/>
              </w:rPr>
            </w:pPr>
            <w:r>
              <w:rPr>
                <w:rFonts w:ascii="宋体" w:hAnsi="宋体" w:cs="宋体"/>
                <w:color w:val="000000"/>
                <w:kern w:val="0"/>
                <w:sz w:val="24"/>
                <w:szCs w:val="24"/>
              </w:rPr>
              <w:t>2017JYDJ-YB0143</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高校基层党支部战斗堡垒作用发挥研究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江苏科技大学</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李恒川</w:t>
            </w:r>
          </w:p>
        </w:tc>
      </w:tr>
      <w:tr>
        <w:tblPrEx>
          <w:tblLayout w:type="fixed"/>
          <w:tblCellMar>
            <w:top w:w="0" w:type="dxa"/>
            <w:left w:w="108" w:type="dxa"/>
            <w:bottom w:w="0" w:type="dxa"/>
            <w:right w:w="108" w:type="dxa"/>
          </w:tblCellMar>
        </w:tblPrEx>
        <w:trPr>
          <w:trHeight w:val="604"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cs="宋体"/>
                <w:color w:val="000000"/>
                <w:kern w:val="0"/>
                <w:sz w:val="24"/>
                <w:szCs w:val="24"/>
              </w:rPr>
            </w:pPr>
            <w:r>
              <w:rPr>
                <w:rFonts w:ascii="宋体" w:cs="宋体"/>
                <w:color w:val="000000"/>
                <w:kern w:val="0"/>
                <w:sz w:val="24"/>
                <w:szCs w:val="24"/>
              </w:rPr>
              <w:t>14</w:t>
            </w:r>
            <w:r>
              <w:rPr>
                <w:rFonts w:hint="eastAsia" w:ascii="宋体" w:cs="宋体"/>
                <w:color w:val="000000"/>
                <w:kern w:val="0"/>
                <w:sz w:val="24"/>
                <w:szCs w:val="24"/>
              </w:rPr>
              <w:t>4</w:t>
            </w:r>
          </w:p>
        </w:tc>
        <w:tc>
          <w:tcPr>
            <w:tcW w:w="2047" w:type="dxa"/>
            <w:tcBorders>
              <w:top w:val="single" w:color="auto" w:sz="4" w:space="0"/>
              <w:left w:val="nil"/>
              <w:bottom w:val="single" w:color="auto" w:sz="4" w:space="0"/>
              <w:right w:val="single" w:color="auto" w:sz="4" w:space="0"/>
            </w:tcBorders>
            <w:vAlign w:val="center"/>
          </w:tcPr>
          <w:p>
            <w:pPr>
              <w:textAlignment w:val="center"/>
              <w:rPr>
                <w:rFonts w:ascii="宋体" w:cs="Times New Roman"/>
                <w:color w:val="000000"/>
                <w:kern w:val="0"/>
                <w:sz w:val="24"/>
                <w:szCs w:val="24"/>
              </w:rPr>
            </w:pPr>
            <w:r>
              <w:rPr>
                <w:rFonts w:ascii="宋体" w:hAnsi="宋体" w:cs="宋体"/>
                <w:color w:val="000000"/>
                <w:kern w:val="0"/>
                <w:sz w:val="24"/>
                <w:szCs w:val="24"/>
              </w:rPr>
              <w:t>2017JYDJ-YB014</w:t>
            </w:r>
            <w:r>
              <w:rPr>
                <w:rFonts w:hint="eastAsia" w:ascii="宋体" w:hAnsi="宋体" w:cs="宋体"/>
                <w:color w:val="000000"/>
                <w:kern w:val="0"/>
                <w:sz w:val="24"/>
                <w:szCs w:val="24"/>
              </w:rPr>
              <w:t>4</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高职校大学生党支部品牌项目建设研究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镇江市高等专科学校</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濮志峰</w:t>
            </w:r>
          </w:p>
        </w:tc>
      </w:tr>
      <w:tr>
        <w:tblPrEx>
          <w:tblLayout w:type="fixed"/>
          <w:tblCellMar>
            <w:top w:w="0" w:type="dxa"/>
            <w:left w:w="108" w:type="dxa"/>
            <w:bottom w:w="0" w:type="dxa"/>
            <w:right w:w="108" w:type="dxa"/>
          </w:tblCellMar>
        </w:tblPrEx>
        <w:trPr>
          <w:trHeight w:val="604" w:hRule="atLeast"/>
        </w:trPr>
        <w:tc>
          <w:tcPr>
            <w:tcW w:w="70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cs="宋体"/>
                <w:color w:val="000000"/>
                <w:kern w:val="0"/>
                <w:sz w:val="24"/>
                <w:szCs w:val="24"/>
              </w:rPr>
            </w:pPr>
            <w:r>
              <w:rPr>
                <w:rFonts w:ascii="宋体" w:cs="宋体"/>
                <w:color w:val="000000"/>
                <w:kern w:val="0"/>
                <w:sz w:val="24"/>
                <w:szCs w:val="24"/>
              </w:rPr>
              <w:t>14</w:t>
            </w:r>
            <w:r>
              <w:rPr>
                <w:rFonts w:hint="eastAsia" w:ascii="宋体" w:cs="宋体"/>
                <w:color w:val="000000"/>
                <w:kern w:val="0"/>
                <w:sz w:val="24"/>
                <w:szCs w:val="24"/>
              </w:rPr>
              <w:t>5</w:t>
            </w:r>
          </w:p>
        </w:tc>
        <w:tc>
          <w:tcPr>
            <w:tcW w:w="2047" w:type="dxa"/>
            <w:tcBorders>
              <w:top w:val="single" w:color="auto" w:sz="4" w:space="0"/>
              <w:left w:val="nil"/>
              <w:bottom w:val="single" w:color="auto" w:sz="4" w:space="0"/>
              <w:right w:val="single" w:color="auto" w:sz="4" w:space="0"/>
            </w:tcBorders>
            <w:vAlign w:val="center"/>
          </w:tcPr>
          <w:p>
            <w:pPr>
              <w:textAlignment w:val="center"/>
              <w:rPr>
                <w:rFonts w:ascii="宋体" w:cs="Times New Roman"/>
                <w:color w:val="000000"/>
                <w:kern w:val="0"/>
                <w:sz w:val="24"/>
                <w:szCs w:val="24"/>
              </w:rPr>
            </w:pPr>
            <w:r>
              <w:rPr>
                <w:rFonts w:ascii="宋体" w:hAnsi="宋体" w:cs="宋体"/>
                <w:color w:val="000000"/>
                <w:kern w:val="0"/>
                <w:sz w:val="24"/>
                <w:szCs w:val="24"/>
              </w:rPr>
              <w:t>2017JYDJ-YB014</w:t>
            </w:r>
            <w:r>
              <w:rPr>
                <w:rFonts w:hint="eastAsia" w:ascii="宋体" w:hAnsi="宋体" w:cs="宋体"/>
                <w:color w:val="000000"/>
                <w:kern w:val="0"/>
                <w:sz w:val="24"/>
                <w:szCs w:val="24"/>
              </w:rPr>
              <w:t>5</w:t>
            </w:r>
          </w:p>
        </w:tc>
        <w:tc>
          <w:tcPr>
            <w:tcW w:w="6398"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szCs w:val="24"/>
              </w:rPr>
            </w:pPr>
            <w:r>
              <w:rPr>
                <w:rFonts w:hint="eastAsia" w:ascii="宋体" w:hAnsi="宋体" w:cs="宋体"/>
                <w:kern w:val="0"/>
                <w:sz w:val="24"/>
                <w:szCs w:val="24"/>
              </w:rPr>
              <w:t>新媒体环境下高职学生党建与思想政治工作的创新发展研究</w:t>
            </w:r>
          </w:p>
        </w:tc>
        <w:tc>
          <w:tcPr>
            <w:tcW w:w="294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江苏农牧科技职业学院</w:t>
            </w:r>
          </w:p>
        </w:tc>
        <w:tc>
          <w:tcPr>
            <w:tcW w:w="1831"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szCs w:val="24"/>
              </w:rPr>
            </w:pPr>
            <w:r>
              <w:rPr>
                <w:rFonts w:hint="eastAsia" w:ascii="宋体" w:hAnsi="宋体" w:cs="宋体"/>
                <w:kern w:val="0"/>
                <w:sz w:val="24"/>
                <w:szCs w:val="24"/>
              </w:rPr>
              <w:t>吴文浩</w:t>
            </w:r>
          </w:p>
        </w:tc>
      </w:tr>
    </w:tbl>
    <w:p>
      <w:pPr>
        <w:rPr>
          <w:rFonts w:ascii="宋体" w:cs="Times New Roman"/>
          <w:color w:val="000000"/>
          <w:kern w:val="0"/>
          <w:sz w:val="24"/>
          <w:szCs w:val="24"/>
        </w:rPr>
      </w:pPr>
    </w:p>
    <w:p>
      <w:pPr>
        <w:spacing w:line="440" w:lineRule="exact"/>
        <w:rPr>
          <w:rFonts w:ascii="黑体" w:eastAsia="黑体" w:cs="Times New Roman"/>
          <w:sz w:val="28"/>
          <w:szCs w:val="28"/>
        </w:rPr>
      </w:pPr>
      <w:r>
        <w:rPr>
          <w:rFonts w:hint="eastAsia" w:ascii="黑体" w:eastAsia="黑体" w:cs="黑体"/>
          <w:sz w:val="28"/>
          <w:szCs w:val="28"/>
        </w:rPr>
        <w:t>三、委托课题（4项）</w:t>
      </w:r>
    </w:p>
    <w:tbl>
      <w:tblPr>
        <w:tblStyle w:val="9"/>
        <w:tblW w:w="13907" w:type="dxa"/>
        <w:tblInd w:w="-106" w:type="dxa"/>
        <w:tblLayout w:type="fixed"/>
        <w:tblCellMar>
          <w:top w:w="0" w:type="dxa"/>
          <w:left w:w="108" w:type="dxa"/>
          <w:bottom w:w="0" w:type="dxa"/>
          <w:right w:w="108" w:type="dxa"/>
        </w:tblCellMar>
      </w:tblPr>
      <w:tblGrid>
        <w:gridCol w:w="700"/>
        <w:gridCol w:w="2009"/>
        <w:gridCol w:w="5811"/>
        <w:gridCol w:w="3544"/>
        <w:gridCol w:w="1843"/>
      </w:tblGrid>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kern w:val="0"/>
                <w:sz w:val="24"/>
                <w:szCs w:val="24"/>
              </w:rPr>
            </w:pPr>
            <w:r>
              <w:rPr>
                <w:rFonts w:hint="eastAsia" w:ascii="宋体" w:hAnsi="宋体" w:cs="宋体"/>
                <w:b/>
                <w:bCs/>
                <w:kern w:val="0"/>
                <w:sz w:val="24"/>
                <w:szCs w:val="24"/>
              </w:rPr>
              <w:t>序号</w:t>
            </w:r>
          </w:p>
        </w:tc>
        <w:tc>
          <w:tcPr>
            <w:tcW w:w="2009" w:type="dxa"/>
            <w:tcBorders>
              <w:top w:val="single" w:color="auto" w:sz="4" w:space="0"/>
              <w:left w:val="nil"/>
              <w:bottom w:val="single" w:color="auto" w:sz="4" w:space="0"/>
              <w:right w:val="single" w:color="auto" w:sz="4" w:space="0"/>
            </w:tcBorders>
            <w:vAlign w:val="center"/>
          </w:tcPr>
          <w:p>
            <w:pPr>
              <w:widowControl/>
              <w:jc w:val="left"/>
              <w:rPr>
                <w:rFonts w:ascii="宋体" w:cs="Times New Roman"/>
                <w:b/>
                <w:bCs/>
                <w:kern w:val="0"/>
                <w:sz w:val="24"/>
                <w:szCs w:val="24"/>
              </w:rPr>
            </w:pPr>
            <w:r>
              <w:rPr>
                <w:rFonts w:hint="eastAsia" w:ascii="宋体" w:hAnsi="宋体" w:cs="宋体"/>
                <w:b/>
                <w:bCs/>
                <w:kern w:val="0"/>
                <w:sz w:val="24"/>
                <w:szCs w:val="24"/>
              </w:rPr>
              <w:t>项目代码</w:t>
            </w:r>
          </w:p>
        </w:tc>
        <w:tc>
          <w:tcPr>
            <w:tcW w:w="581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课题名称</w:t>
            </w:r>
          </w:p>
        </w:tc>
        <w:tc>
          <w:tcPr>
            <w:tcW w:w="354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申报单位</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cs="Times New Roman"/>
                <w:b/>
                <w:bCs/>
                <w:kern w:val="0"/>
                <w:sz w:val="24"/>
                <w:szCs w:val="24"/>
              </w:rPr>
            </w:pPr>
            <w:r>
              <w:rPr>
                <w:rFonts w:hint="eastAsia" w:ascii="宋体" w:hAnsi="宋体" w:cs="宋体"/>
                <w:b/>
                <w:bCs/>
                <w:kern w:val="0"/>
                <w:sz w:val="24"/>
                <w:szCs w:val="24"/>
              </w:rPr>
              <w:t>负责人姓名</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0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ascii="宋体" w:hAnsi="宋体" w:cs="宋体"/>
                <w:color w:val="000000"/>
                <w:kern w:val="0"/>
                <w:sz w:val="24"/>
                <w:szCs w:val="24"/>
              </w:rPr>
              <w:t>2017JYDJ-ZD021</w:t>
            </w:r>
          </w:p>
        </w:tc>
        <w:tc>
          <w:tcPr>
            <w:tcW w:w="5811" w:type="dxa"/>
            <w:tcBorders>
              <w:top w:val="single" w:color="auto" w:sz="4" w:space="0"/>
              <w:left w:val="nil"/>
              <w:bottom w:val="single" w:color="auto" w:sz="4" w:space="0"/>
              <w:right w:val="single" w:color="auto" w:sz="4" w:space="0"/>
            </w:tcBorders>
            <w:vAlign w:val="center"/>
          </w:tcPr>
          <w:p>
            <w:pPr>
              <w:widowControl/>
              <w:jc w:val="left"/>
              <w:textAlignment w:val="bottom"/>
              <w:rPr>
                <w:rFonts w:ascii="宋体" w:hAnsi="宋体" w:cs="宋体"/>
                <w:color w:val="000000"/>
                <w:kern w:val="0"/>
                <w:sz w:val="24"/>
                <w:szCs w:val="24"/>
              </w:rPr>
            </w:pPr>
            <w:r>
              <w:rPr>
                <w:rFonts w:hint="eastAsia" w:ascii="宋体" w:hAnsi="宋体" w:cs="宋体"/>
                <w:color w:val="000000"/>
                <w:kern w:val="0"/>
                <w:sz w:val="24"/>
                <w:szCs w:val="24"/>
              </w:rPr>
              <w:t>江苏高校基层党支部组织生活现状研究与思考</w:t>
            </w:r>
          </w:p>
        </w:tc>
        <w:tc>
          <w:tcPr>
            <w:tcW w:w="3544"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hAnsi="宋体" w:cs="宋体"/>
                <w:color w:val="000000"/>
                <w:kern w:val="0"/>
                <w:sz w:val="24"/>
                <w:szCs w:val="24"/>
              </w:rPr>
            </w:pPr>
            <w:r>
              <w:rPr>
                <w:rFonts w:hint="eastAsia" w:ascii="宋体" w:hAnsi="宋体" w:cs="宋体"/>
                <w:color w:val="000000"/>
                <w:kern w:val="0"/>
                <w:sz w:val="24"/>
                <w:szCs w:val="24"/>
              </w:rPr>
              <w:t>河海大学</w:t>
            </w:r>
          </w:p>
        </w:tc>
        <w:tc>
          <w:tcPr>
            <w:tcW w:w="1843"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hAnsi="宋体" w:cs="宋体"/>
                <w:kern w:val="0"/>
                <w:sz w:val="24"/>
                <w:szCs w:val="24"/>
              </w:rPr>
            </w:pPr>
            <w:r>
              <w:rPr>
                <w:rFonts w:hint="eastAsia" w:ascii="宋体" w:hAnsi="宋体" w:cs="宋体"/>
                <w:kern w:val="0"/>
                <w:sz w:val="24"/>
                <w:szCs w:val="24"/>
              </w:rPr>
              <w:t>浦玲</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hint="eastAsia" w:ascii="宋体" w:hAnsi="宋体" w:cs="宋体"/>
                <w:color w:val="000000"/>
                <w:kern w:val="0"/>
                <w:sz w:val="24"/>
                <w:szCs w:val="24"/>
              </w:rPr>
              <w:t>2</w:t>
            </w:r>
          </w:p>
        </w:tc>
        <w:tc>
          <w:tcPr>
            <w:tcW w:w="20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kern w:val="0"/>
                <w:sz w:val="24"/>
                <w:szCs w:val="24"/>
              </w:rPr>
            </w:pPr>
            <w:r>
              <w:rPr>
                <w:rFonts w:ascii="宋体" w:hAnsi="宋体" w:cs="宋体"/>
                <w:color w:val="000000"/>
                <w:kern w:val="0"/>
                <w:sz w:val="24"/>
                <w:szCs w:val="24"/>
              </w:rPr>
              <w:t>2017JYDJ-ZD02</w:t>
            </w:r>
            <w:r>
              <w:rPr>
                <w:rFonts w:hint="eastAsia" w:ascii="宋体" w:hAnsi="宋体" w:cs="宋体"/>
                <w:color w:val="000000"/>
                <w:kern w:val="0"/>
                <w:sz w:val="24"/>
                <w:szCs w:val="24"/>
              </w:rPr>
              <w:t>2</w:t>
            </w:r>
          </w:p>
        </w:tc>
        <w:tc>
          <w:tcPr>
            <w:tcW w:w="5811" w:type="dxa"/>
            <w:tcBorders>
              <w:top w:val="single" w:color="auto" w:sz="4" w:space="0"/>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十八大以来高校党的建设思想研究</w:t>
            </w:r>
          </w:p>
        </w:tc>
        <w:tc>
          <w:tcPr>
            <w:tcW w:w="3544"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b/>
                <w:bCs/>
                <w:kern w:val="0"/>
                <w:sz w:val="24"/>
                <w:szCs w:val="24"/>
              </w:rPr>
            </w:pPr>
            <w:r>
              <w:rPr>
                <w:rFonts w:hint="eastAsia" w:ascii="宋体" w:hAnsi="宋体" w:cs="宋体"/>
                <w:color w:val="000000"/>
                <w:kern w:val="0"/>
                <w:sz w:val="24"/>
                <w:szCs w:val="24"/>
              </w:rPr>
              <w:t>南京师范大学</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管新华</w:t>
            </w:r>
          </w:p>
        </w:tc>
      </w:tr>
      <w:tr>
        <w:tblPrEx>
          <w:tblLayout w:type="fixed"/>
          <w:tblCellMar>
            <w:top w:w="0" w:type="dxa"/>
            <w:left w:w="108" w:type="dxa"/>
            <w:bottom w:w="0" w:type="dxa"/>
            <w:right w:w="108" w:type="dxa"/>
          </w:tblCellMar>
        </w:tblPrEx>
        <w:trPr>
          <w:trHeight w:val="627"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hint="eastAsia" w:ascii="宋体" w:hAnsi="宋体" w:cs="宋体"/>
                <w:color w:val="000000"/>
                <w:kern w:val="0"/>
                <w:sz w:val="24"/>
                <w:szCs w:val="24"/>
              </w:rPr>
              <w:t>3</w:t>
            </w:r>
          </w:p>
        </w:tc>
        <w:tc>
          <w:tcPr>
            <w:tcW w:w="20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cs="Times New Roman"/>
                <w:kern w:val="0"/>
                <w:sz w:val="24"/>
                <w:szCs w:val="24"/>
              </w:rPr>
            </w:pPr>
            <w:r>
              <w:rPr>
                <w:rFonts w:ascii="宋体" w:hAnsi="宋体" w:cs="宋体"/>
                <w:color w:val="000000"/>
                <w:kern w:val="0"/>
                <w:sz w:val="24"/>
                <w:szCs w:val="24"/>
              </w:rPr>
              <w:t>2017JYDJ-ZD02</w:t>
            </w:r>
            <w:r>
              <w:rPr>
                <w:rFonts w:hint="eastAsia" w:ascii="宋体" w:hAnsi="宋体" w:cs="宋体"/>
                <w:color w:val="000000"/>
                <w:kern w:val="0"/>
                <w:sz w:val="24"/>
                <w:szCs w:val="24"/>
              </w:rPr>
              <w:t>3</w:t>
            </w:r>
          </w:p>
        </w:tc>
        <w:tc>
          <w:tcPr>
            <w:tcW w:w="5811" w:type="dxa"/>
            <w:tcBorders>
              <w:top w:val="single" w:color="auto" w:sz="4" w:space="0"/>
              <w:left w:val="nil"/>
              <w:bottom w:val="single" w:color="auto" w:sz="4" w:space="0"/>
              <w:right w:val="single" w:color="auto" w:sz="4" w:space="0"/>
            </w:tcBorders>
            <w:vAlign w:val="center"/>
          </w:tcPr>
          <w:p>
            <w:pPr>
              <w:widowControl/>
              <w:jc w:val="left"/>
              <w:textAlignment w:val="bottom"/>
              <w:rPr>
                <w:rFonts w:ascii="宋体" w:cs="Times New Roman"/>
                <w:kern w:val="0"/>
                <w:sz w:val="24"/>
                <w:szCs w:val="24"/>
              </w:rPr>
            </w:pPr>
            <w:r>
              <w:rPr>
                <w:rFonts w:hint="eastAsia" w:ascii="宋体" w:hAnsi="宋体" w:cs="宋体"/>
                <w:kern w:val="0"/>
                <w:sz w:val="24"/>
                <w:szCs w:val="24"/>
              </w:rPr>
              <w:t>江苏高校师生党员数量和质量问题研究</w:t>
            </w:r>
          </w:p>
        </w:tc>
        <w:tc>
          <w:tcPr>
            <w:tcW w:w="3544"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hint="eastAsia" w:ascii="宋体" w:hAnsi="宋体" w:cs="宋体"/>
                <w:kern w:val="0"/>
                <w:sz w:val="24"/>
                <w:szCs w:val="24"/>
              </w:rPr>
              <w:t>南京师范大学</w:t>
            </w:r>
          </w:p>
        </w:tc>
        <w:tc>
          <w:tcPr>
            <w:tcW w:w="1843" w:type="dxa"/>
            <w:tcBorders>
              <w:top w:val="single" w:color="auto" w:sz="4" w:space="0"/>
              <w:left w:val="nil"/>
              <w:bottom w:val="single" w:color="auto" w:sz="4" w:space="0"/>
              <w:right w:val="single" w:color="auto" w:sz="4" w:space="0"/>
            </w:tcBorders>
            <w:vAlign w:val="center"/>
          </w:tcPr>
          <w:p>
            <w:pPr>
              <w:widowControl/>
              <w:jc w:val="center"/>
              <w:textAlignment w:val="bottom"/>
              <w:rPr>
                <w:rFonts w:ascii="宋体" w:cs="Times New Roman"/>
                <w:kern w:val="0"/>
                <w:sz w:val="24"/>
                <w:szCs w:val="24"/>
              </w:rPr>
            </w:pPr>
            <w:r>
              <w:rPr>
                <w:rFonts w:hint="eastAsia" w:ascii="宋体" w:hAnsi="宋体" w:cs="宋体"/>
                <w:kern w:val="0"/>
                <w:sz w:val="24"/>
                <w:szCs w:val="24"/>
              </w:rPr>
              <w:t>顾中亚</w:t>
            </w:r>
          </w:p>
        </w:tc>
      </w:tr>
      <w:tr>
        <w:tblPrEx>
          <w:tblLayout w:type="fixed"/>
          <w:tblCellMar>
            <w:top w:w="0" w:type="dxa"/>
            <w:left w:w="108" w:type="dxa"/>
            <w:bottom w:w="0" w:type="dxa"/>
            <w:right w:w="108" w:type="dxa"/>
          </w:tblCellMar>
        </w:tblPrEx>
        <w:trPr>
          <w:trHeight w:val="689"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Times New Roman"/>
                <w:b/>
                <w:bCs/>
                <w:kern w:val="0"/>
                <w:sz w:val="24"/>
                <w:szCs w:val="24"/>
              </w:rPr>
            </w:pPr>
            <w:r>
              <w:rPr>
                <w:rFonts w:hint="eastAsia" w:ascii="宋体" w:hAnsi="宋体" w:cs="宋体"/>
                <w:color w:val="000000"/>
                <w:kern w:val="0"/>
                <w:sz w:val="24"/>
                <w:szCs w:val="24"/>
              </w:rPr>
              <w:t>4</w:t>
            </w:r>
          </w:p>
        </w:tc>
        <w:tc>
          <w:tcPr>
            <w:tcW w:w="2009"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kern w:val="0"/>
                <w:sz w:val="24"/>
                <w:szCs w:val="24"/>
              </w:rPr>
            </w:pPr>
            <w:r>
              <w:rPr>
                <w:rFonts w:ascii="宋体" w:hAnsi="宋体" w:cs="宋体"/>
                <w:color w:val="000000"/>
                <w:kern w:val="0"/>
                <w:sz w:val="24"/>
                <w:szCs w:val="24"/>
              </w:rPr>
              <w:t>2017JYDJ-ZD02</w:t>
            </w:r>
            <w:r>
              <w:rPr>
                <w:rFonts w:hint="eastAsia" w:ascii="宋体" w:hAnsi="宋体" w:cs="宋体"/>
                <w:color w:val="000000"/>
                <w:kern w:val="0"/>
                <w:sz w:val="24"/>
                <w:szCs w:val="24"/>
              </w:rPr>
              <w:t>4</w:t>
            </w:r>
          </w:p>
        </w:tc>
        <w:tc>
          <w:tcPr>
            <w:tcW w:w="5811" w:type="dxa"/>
            <w:tcBorders>
              <w:top w:val="single" w:color="auto" w:sz="4" w:space="0"/>
              <w:left w:val="nil"/>
              <w:bottom w:val="single" w:color="auto" w:sz="4" w:space="0"/>
              <w:right w:val="single" w:color="auto" w:sz="4" w:space="0"/>
            </w:tcBorders>
            <w:vAlign w:val="center"/>
          </w:tcPr>
          <w:p>
            <w:pPr>
              <w:jc w:val="left"/>
              <w:textAlignment w:val="bottom"/>
              <w:rPr>
                <w:rFonts w:ascii="宋体" w:cs="Times New Roman"/>
                <w:kern w:val="0"/>
                <w:sz w:val="24"/>
                <w:szCs w:val="24"/>
              </w:rPr>
            </w:pPr>
            <w:r>
              <w:rPr>
                <w:rFonts w:hint="eastAsia" w:ascii="宋体" w:hAnsi="宋体" w:cs="宋体"/>
                <w:kern w:val="0"/>
                <w:sz w:val="24"/>
                <w:szCs w:val="24"/>
              </w:rPr>
              <w:t>江苏高校教师党支部书记队伍建设及“双带头人”培育工作研究</w:t>
            </w:r>
          </w:p>
        </w:tc>
        <w:tc>
          <w:tcPr>
            <w:tcW w:w="3544" w:type="dxa"/>
            <w:tcBorders>
              <w:top w:val="single" w:color="auto" w:sz="4" w:space="0"/>
              <w:left w:val="nil"/>
              <w:bottom w:val="single" w:color="auto" w:sz="4" w:space="0"/>
              <w:right w:val="single" w:color="auto" w:sz="4" w:space="0"/>
            </w:tcBorders>
            <w:vAlign w:val="center"/>
          </w:tcPr>
          <w:p>
            <w:pPr>
              <w:jc w:val="center"/>
              <w:textAlignment w:val="bottom"/>
              <w:rPr>
                <w:rFonts w:ascii="宋体" w:cs="Times New Roman"/>
                <w:kern w:val="0"/>
                <w:sz w:val="24"/>
                <w:szCs w:val="24"/>
              </w:rPr>
            </w:pPr>
            <w:r>
              <w:rPr>
                <w:rFonts w:hint="eastAsia" w:ascii="宋体" w:hAnsi="宋体" w:cs="宋体"/>
                <w:kern w:val="0"/>
                <w:sz w:val="24"/>
                <w:szCs w:val="24"/>
              </w:rPr>
              <w:t>江苏师范大学</w:t>
            </w:r>
          </w:p>
        </w:tc>
        <w:tc>
          <w:tcPr>
            <w:tcW w:w="1843" w:type="dxa"/>
            <w:tcBorders>
              <w:top w:val="single" w:color="auto" w:sz="4" w:space="0"/>
              <w:left w:val="nil"/>
              <w:bottom w:val="single" w:color="auto" w:sz="4" w:space="0"/>
              <w:right w:val="single" w:color="auto" w:sz="4" w:space="0"/>
            </w:tcBorders>
            <w:vAlign w:val="center"/>
          </w:tcPr>
          <w:p>
            <w:pPr>
              <w:jc w:val="center"/>
              <w:textAlignment w:val="bottom"/>
              <w:rPr>
                <w:rFonts w:ascii="宋体" w:cs="Times New Roman"/>
                <w:kern w:val="0"/>
                <w:sz w:val="24"/>
                <w:szCs w:val="24"/>
              </w:rPr>
            </w:pPr>
            <w:r>
              <w:rPr>
                <w:rFonts w:hint="eastAsia" w:ascii="宋体" w:hAnsi="宋体" w:cs="宋体"/>
                <w:kern w:val="0"/>
                <w:sz w:val="24"/>
                <w:szCs w:val="24"/>
              </w:rPr>
              <w:t>戚洪</w:t>
            </w:r>
          </w:p>
        </w:tc>
      </w:tr>
    </w:tbl>
    <w:p>
      <w:pPr>
        <w:spacing w:line="440" w:lineRule="exact"/>
        <w:rPr>
          <w:rFonts w:ascii="宋体" w:cs="Times New Roman"/>
          <w:kern w:val="0"/>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Times New Roman"/>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214E8"/>
    <w:multiLevelType w:val="multilevel"/>
    <w:tmpl w:val="6C2214E8"/>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84"/>
    <w:rsid w:val="00000CD6"/>
    <w:rsid w:val="00002411"/>
    <w:rsid w:val="00003CF8"/>
    <w:rsid w:val="00005071"/>
    <w:rsid w:val="00023558"/>
    <w:rsid w:val="00025DF0"/>
    <w:rsid w:val="000457A2"/>
    <w:rsid w:val="000461CD"/>
    <w:rsid w:val="000729E2"/>
    <w:rsid w:val="00075EBB"/>
    <w:rsid w:val="00076311"/>
    <w:rsid w:val="00094F87"/>
    <w:rsid w:val="000A3038"/>
    <w:rsid w:val="000B1064"/>
    <w:rsid w:val="000B159C"/>
    <w:rsid w:val="000B5C3F"/>
    <w:rsid w:val="000C2B6D"/>
    <w:rsid w:val="000D7EEF"/>
    <w:rsid w:val="000F56D2"/>
    <w:rsid w:val="00114AB3"/>
    <w:rsid w:val="00116C2A"/>
    <w:rsid w:val="00127D58"/>
    <w:rsid w:val="001373AB"/>
    <w:rsid w:val="00147975"/>
    <w:rsid w:val="00155B6E"/>
    <w:rsid w:val="00162C61"/>
    <w:rsid w:val="001725DE"/>
    <w:rsid w:val="001744DB"/>
    <w:rsid w:val="00183871"/>
    <w:rsid w:val="00183CFC"/>
    <w:rsid w:val="001929FB"/>
    <w:rsid w:val="00196EEC"/>
    <w:rsid w:val="001F525E"/>
    <w:rsid w:val="00204D12"/>
    <w:rsid w:val="002062A3"/>
    <w:rsid w:val="002074B3"/>
    <w:rsid w:val="002168A3"/>
    <w:rsid w:val="0022214F"/>
    <w:rsid w:val="00227401"/>
    <w:rsid w:val="0023034F"/>
    <w:rsid w:val="002333D2"/>
    <w:rsid w:val="002354BF"/>
    <w:rsid w:val="00236476"/>
    <w:rsid w:val="00241468"/>
    <w:rsid w:val="002553A1"/>
    <w:rsid w:val="00263F3F"/>
    <w:rsid w:val="002844E3"/>
    <w:rsid w:val="002B1502"/>
    <w:rsid w:val="002C7C4A"/>
    <w:rsid w:val="002D3925"/>
    <w:rsid w:val="002D5BBB"/>
    <w:rsid w:val="002E1E03"/>
    <w:rsid w:val="003020E7"/>
    <w:rsid w:val="00307C6D"/>
    <w:rsid w:val="00311EB8"/>
    <w:rsid w:val="00312725"/>
    <w:rsid w:val="0031329D"/>
    <w:rsid w:val="003141A2"/>
    <w:rsid w:val="0033016A"/>
    <w:rsid w:val="00351DAA"/>
    <w:rsid w:val="00357234"/>
    <w:rsid w:val="00361952"/>
    <w:rsid w:val="003736DE"/>
    <w:rsid w:val="003801FD"/>
    <w:rsid w:val="00381176"/>
    <w:rsid w:val="003C0FEE"/>
    <w:rsid w:val="003C4AF4"/>
    <w:rsid w:val="003F4EC3"/>
    <w:rsid w:val="004019DC"/>
    <w:rsid w:val="004176E0"/>
    <w:rsid w:val="00425241"/>
    <w:rsid w:val="004253A4"/>
    <w:rsid w:val="00433870"/>
    <w:rsid w:val="004346EF"/>
    <w:rsid w:val="00440CC4"/>
    <w:rsid w:val="00442F3B"/>
    <w:rsid w:val="00444C91"/>
    <w:rsid w:val="00451C54"/>
    <w:rsid w:val="004652B9"/>
    <w:rsid w:val="004708A2"/>
    <w:rsid w:val="00481C1F"/>
    <w:rsid w:val="00493AB0"/>
    <w:rsid w:val="004A0726"/>
    <w:rsid w:val="004B260C"/>
    <w:rsid w:val="004B3487"/>
    <w:rsid w:val="004B6809"/>
    <w:rsid w:val="004C3F68"/>
    <w:rsid w:val="004D268C"/>
    <w:rsid w:val="004D3B5E"/>
    <w:rsid w:val="004E5069"/>
    <w:rsid w:val="004F1720"/>
    <w:rsid w:val="00501259"/>
    <w:rsid w:val="00514FC6"/>
    <w:rsid w:val="005171D2"/>
    <w:rsid w:val="0052346E"/>
    <w:rsid w:val="00532A2D"/>
    <w:rsid w:val="00545BD5"/>
    <w:rsid w:val="00572B9A"/>
    <w:rsid w:val="0057520B"/>
    <w:rsid w:val="005A15FC"/>
    <w:rsid w:val="005B3B9F"/>
    <w:rsid w:val="005B7FF2"/>
    <w:rsid w:val="005C39B0"/>
    <w:rsid w:val="005E39AD"/>
    <w:rsid w:val="005E4C9D"/>
    <w:rsid w:val="006048C8"/>
    <w:rsid w:val="00605863"/>
    <w:rsid w:val="006058F5"/>
    <w:rsid w:val="006139C9"/>
    <w:rsid w:val="0062091E"/>
    <w:rsid w:val="0063212A"/>
    <w:rsid w:val="00641161"/>
    <w:rsid w:val="00645F15"/>
    <w:rsid w:val="0067366B"/>
    <w:rsid w:val="00684C20"/>
    <w:rsid w:val="00696567"/>
    <w:rsid w:val="006A0E11"/>
    <w:rsid w:val="006A1C7F"/>
    <w:rsid w:val="006A5318"/>
    <w:rsid w:val="006A73A1"/>
    <w:rsid w:val="006B20D8"/>
    <w:rsid w:val="006C3ECD"/>
    <w:rsid w:val="006E2359"/>
    <w:rsid w:val="006F451C"/>
    <w:rsid w:val="007016BD"/>
    <w:rsid w:val="00702B21"/>
    <w:rsid w:val="00713033"/>
    <w:rsid w:val="00715CC9"/>
    <w:rsid w:val="00716478"/>
    <w:rsid w:val="007166B4"/>
    <w:rsid w:val="007213CA"/>
    <w:rsid w:val="0072246F"/>
    <w:rsid w:val="007247E6"/>
    <w:rsid w:val="007263D7"/>
    <w:rsid w:val="007329AA"/>
    <w:rsid w:val="00741B82"/>
    <w:rsid w:val="00753547"/>
    <w:rsid w:val="00757DFB"/>
    <w:rsid w:val="0076021B"/>
    <w:rsid w:val="00774471"/>
    <w:rsid w:val="007865FF"/>
    <w:rsid w:val="007A503B"/>
    <w:rsid w:val="007B3D80"/>
    <w:rsid w:val="007B55B7"/>
    <w:rsid w:val="007D0620"/>
    <w:rsid w:val="007F44B1"/>
    <w:rsid w:val="008055C4"/>
    <w:rsid w:val="00823CC6"/>
    <w:rsid w:val="0083411D"/>
    <w:rsid w:val="0083426E"/>
    <w:rsid w:val="00835787"/>
    <w:rsid w:val="00836E99"/>
    <w:rsid w:val="00842288"/>
    <w:rsid w:val="00854E55"/>
    <w:rsid w:val="0086003A"/>
    <w:rsid w:val="008743EB"/>
    <w:rsid w:val="00875DFB"/>
    <w:rsid w:val="00877037"/>
    <w:rsid w:val="00877520"/>
    <w:rsid w:val="00892773"/>
    <w:rsid w:val="00894805"/>
    <w:rsid w:val="00894B4B"/>
    <w:rsid w:val="008B2E58"/>
    <w:rsid w:val="008B6C3A"/>
    <w:rsid w:val="008C1782"/>
    <w:rsid w:val="008C1B93"/>
    <w:rsid w:val="008C7C68"/>
    <w:rsid w:val="008D4AC5"/>
    <w:rsid w:val="008D5794"/>
    <w:rsid w:val="008D7FB1"/>
    <w:rsid w:val="008E368A"/>
    <w:rsid w:val="008E78F2"/>
    <w:rsid w:val="008E7DFE"/>
    <w:rsid w:val="008F1A11"/>
    <w:rsid w:val="00900A5C"/>
    <w:rsid w:val="00902D5A"/>
    <w:rsid w:val="00906B2B"/>
    <w:rsid w:val="00941AA8"/>
    <w:rsid w:val="009426C7"/>
    <w:rsid w:val="00946764"/>
    <w:rsid w:val="009472CE"/>
    <w:rsid w:val="00973676"/>
    <w:rsid w:val="00973D49"/>
    <w:rsid w:val="00974095"/>
    <w:rsid w:val="00994A5C"/>
    <w:rsid w:val="009B1D22"/>
    <w:rsid w:val="009B547B"/>
    <w:rsid w:val="009B5984"/>
    <w:rsid w:val="009C6B07"/>
    <w:rsid w:val="009C72FF"/>
    <w:rsid w:val="00A36A59"/>
    <w:rsid w:val="00A410D4"/>
    <w:rsid w:val="00A51A39"/>
    <w:rsid w:val="00A563E8"/>
    <w:rsid w:val="00A61314"/>
    <w:rsid w:val="00A61845"/>
    <w:rsid w:val="00A71BD1"/>
    <w:rsid w:val="00A9413F"/>
    <w:rsid w:val="00AA28D3"/>
    <w:rsid w:val="00AB2047"/>
    <w:rsid w:val="00AB6281"/>
    <w:rsid w:val="00AC3087"/>
    <w:rsid w:val="00AC60F2"/>
    <w:rsid w:val="00AD70AD"/>
    <w:rsid w:val="00B111A0"/>
    <w:rsid w:val="00B1206B"/>
    <w:rsid w:val="00B20ED9"/>
    <w:rsid w:val="00B237B0"/>
    <w:rsid w:val="00B41C05"/>
    <w:rsid w:val="00B42DCE"/>
    <w:rsid w:val="00B46B41"/>
    <w:rsid w:val="00B62E91"/>
    <w:rsid w:val="00B701F0"/>
    <w:rsid w:val="00B7302C"/>
    <w:rsid w:val="00B901A0"/>
    <w:rsid w:val="00B957C6"/>
    <w:rsid w:val="00B9689E"/>
    <w:rsid w:val="00BA1F95"/>
    <w:rsid w:val="00BA675E"/>
    <w:rsid w:val="00BA76D8"/>
    <w:rsid w:val="00BC4ADB"/>
    <w:rsid w:val="00BD03AA"/>
    <w:rsid w:val="00BD715B"/>
    <w:rsid w:val="00BD7A92"/>
    <w:rsid w:val="00BE79FF"/>
    <w:rsid w:val="00BF1312"/>
    <w:rsid w:val="00C0721F"/>
    <w:rsid w:val="00C16245"/>
    <w:rsid w:val="00C23BB6"/>
    <w:rsid w:val="00C242FC"/>
    <w:rsid w:val="00C249E0"/>
    <w:rsid w:val="00C25BCB"/>
    <w:rsid w:val="00C32C51"/>
    <w:rsid w:val="00C36231"/>
    <w:rsid w:val="00C42482"/>
    <w:rsid w:val="00C56760"/>
    <w:rsid w:val="00C5759F"/>
    <w:rsid w:val="00C663B4"/>
    <w:rsid w:val="00C678C2"/>
    <w:rsid w:val="00C731DE"/>
    <w:rsid w:val="00C770EF"/>
    <w:rsid w:val="00C77B7B"/>
    <w:rsid w:val="00C91E1E"/>
    <w:rsid w:val="00CA0A62"/>
    <w:rsid w:val="00CA421B"/>
    <w:rsid w:val="00CD364D"/>
    <w:rsid w:val="00CE3759"/>
    <w:rsid w:val="00CE546B"/>
    <w:rsid w:val="00CF44CD"/>
    <w:rsid w:val="00D0724F"/>
    <w:rsid w:val="00D17CE2"/>
    <w:rsid w:val="00D26FBA"/>
    <w:rsid w:val="00D428EE"/>
    <w:rsid w:val="00D46C24"/>
    <w:rsid w:val="00D71282"/>
    <w:rsid w:val="00D73264"/>
    <w:rsid w:val="00D87068"/>
    <w:rsid w:val="00D9167A"/>
    <w:rsid w:val="00D917D9"/>
    <w:rsid w:val="00D9455C"/>
    <w:rsid w:val="00DB0756"/>
    <w:rsid w:val="00DC387B"/>
    <w:rsid w:val="00DD66F7"/>
    <w:rsid w:val="00DD7D33"/>
    <w:rsid w:val="00E016F9"/>
    <w:rsid w:val="00E035D9"/>
    <w:rsid w:val="00E17A54"/>
    <w:rsid w:val="00E24927"/>
    <w:rsid w:val="00E33299"/>
    <w:rsid w:val="00E401EB"/>
    <w:rsid w:val="00E550B6"/>
    <w:rsid w:val="00E747C1"/>
    <w:rsid w:val="00E751A4"/>
    <w:rsid w:val="00EA0CAD"/>
    <w:rsid w:val="00EA38AE"/>
    <w:rsid w:val="00EB2DCC"/>
    <w:rsid w:val="00EB35A2"/>
    <w:rsid w:val="00EC1073"/>
    <w:rsid w:val="00ED0828"/>
    <w:rsid w:val="00EE2708"/>
    <w:rsid w:val="00EE7D58"/>
    <w:rsid w:val="00EE7E2E"/>
    <w:rsid w:val="00EF54F4"/>
    <w:rsid w:val="00F018AB"/>
    <w:rsid w:val="00F11C8F"/>
    <w:rsid w:val="00F13FFD"/>
    <w:rsid w:val="00F261EB"/>
    <w:rsid w:val="00F35057"/>
    <w:rsid w:val="00F37F52"/>
    <w:rsid w:val="00F55000"/>
    <w:rsid w:val="00F6255E"/>
    <w:rsid w:val="00F67A94"/>
    <w:rsid w:val="00F973C0"/>
    <w:rsid w:val="00FA001B"/>
    <w:rsid w:val="00FC36A5"/>
    <w:rsid w:val="00FC6E53"/>
    <w:rsid w:val="00FD7A81"/>
    <w:rsid w:val="00FF0BEA"/>
    <w:rsid w:val="00FF4DBD"/>
    <w:rsid w:val="042C1A9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color w:val="000000"/>
      <w:kern w:val="0"/>
      <w:sz w:val="24"/>
      <w:szCs w:val="24"/>
    </w:rPr>
  </w:style>
  <w:style w:type="character" w:styleId="7">
    <w:name w:val="page number"/>
    <w:basedOn w:val="6"/>
    <w:uiPriority w:val="99"/>
  </w:style>
  <w:style w:type="character" w:styleId="8">
    <w:name w:val="Hyperlink"/>
    <w:uiPriority w:val="99"/>
    <w:rPr>
      <w:color w:val="0000FF"/>
      <w:u w:val="single"/>
    </w:rPr>
  </w:style>
  <w:style w:type="character" w:customStyle="1" w:styleId="10">
    <w:name w:val="页眉 Char"/>
    <w:link w:val="4"/>
    <w:locked/>
    <w:uiPriority w:val="99"/>
    <w:rPr>
      <w:rFonts w:ascii="Calibri" w:hAnsi="Calibri" w:cs="Calibri"/>
      <w:kern w:val="2"/>
      <w:sz w:val="18"/>
      <w:szCs w:val="18"/>
    </w:rPr>
  </w:style>
  <w:style w:type="character" w:customStyle="1" w:styleId="11">
    <w:name w:val="页脚 Char"/>
    <w:link w:val="3"/>
    <w:locked/>
    <w:uiPriority w:val="99"/>
    <w:rPr>
      <w:rFonts w:ascii="Calibri" w:hAnsi="Calibri" w:cs="Calibri"/>
      <w:kern w:val="2"/>
      <w:sz w:val="18"/>
      <w:szCs w:val="18"/>
    </w:rPr>
  </w:style>
  <w:style w:type="character" w:customStyle="1" w:styleId="12">
    <w:name w:val="font01"/>
    <w:uiPriority w:val="99"/>
    <w:rPr>
      <w:rFonts w:ascii="宋体" w:hAnsi="宋体" w:eastAsia="宋体" w:cs="宋体"/>
      <w:color w:val="000000"/>
      <w:sz w:val="24"/>
      <w:szCs w:val="24"/>
      <w:u w:val="none"/>
    </w:rPr>
  </w:style>
  <w:style w:type="character" w:customStyle="1" w:styleId="13">
    <w:name w:val="font21"/>
    <w:qFormat/>
    <w:uiPriority w:val="99"/>
    <w:rPr>
      <w:rFonts w:ascii="Times New Roman" w:hAnsi="Times New Roman" w:cs="Times New Roman"/>
      <w:color w:val="000000"/>
      <w:sz w:val="21"/>
      <w:szCs w:val="21"/>
      <w:u w:val="none"/>
    </w:rPr>
  </w:style>
  <w:style w:type="character" w:customStyle="1" w:styleId="14">
    <w:name w:val="font11"/>
    <w:uiPriority w:val="99"/>
    <w:rPr>
      <w:rFonts w:ascii="宋体" w:hAnsi="宋体" w:eastAsia="宋体" w:cs="宋体"/>
      <w:color w:val="000000"/>
      <w:sz w:val="21"/>
      <w:szCs w:val="21"/>
      <w:u w:val="none"/>
    </w:rPr>
  </w:style>
  <w:style w:type="character" w:customStyle="1" w:styleId="15">
    <w:name w:val="批注框文本 Char"/>
    <w:link w:val="2"/>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BF806-9A93-4B09-8C08-BD437C10B385}">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15</Pages>
  <Words>1515</Words>
  <Characters>8637</Characters>
  <Lines>71</Lines>
  <Paragraphs>20</Paragraphs>
  <TotalTime>0</TotalTime>
  <ScaleCrop>false</ScaleCrop>
  <LinksUpToDate>false</LinksUpToDate>
  <CharactersWithSpaces>10132</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2017-07-04T04:58:00Z</dcterms:created>
  <dc:creator>MC SYSTEM</dc:creator>
  <cp:lastModifiedBy>何苗</cp:lastModifiedBy>
  <cp:lastPrinted>2017-07-04T09:35:00Z</cp:lastPrinted>
  <dcterms:modified xsi:type="dcterms:W3CDTF">2017-09-11T00:47:25Z</dcterms:modified>
  <dc:title>江苏省教育系统党建研究会</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